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eastAsia="zh-CN"/>
        </w:rPr>
      </w:pPr>
      <w:r>
        <w:rPr>
          <w:rFonts w:hint="eastAsia"/>
          <w:b/>
          <w:bCs/>
          <w:lang w:eastAsia="zh-CN"/>
        </w:rPr>
        <w:t>中陕核工业集团公司企业需求发布汇总表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75"/>
        <w:gridCol w:w="1600"/>
        <w:gridCol w:w="3964"/>
        <w:gridCol w:w="2291"/>
        <w:gridCol w:w="1186"/>
        <w:gridCol w:w="682"/>
        <w:gridCol w:w="1037"/>
        <w:gridCol w:w="668"/>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25" w:type="dxa"/>
          </w:tcPr>
          <w:p>
            <w:pPr>
              <w:rPr>
                <w:rFonts w:hint="eastAsia" w:eastAsiaTheme="minorEastAsia"/>
                <w:vertAlign w:val="baseline"/>
                <w:lang w:eastAsia="zh-CN"/>
              </w:rPr>
            </w:pPr>
            <w:r>
              <w:rPr>
                <w:rFonts w:hint="eastAsia"/>
                <w:vertAlign w:val="baseline"/>
                <w:lang w:eastAsia="zh-CN"/>
              </w:rPr>
              <w:t>序号</w:t>
            </w:r>
          </w:p>
        </w:tc>
        <w:tc>
          <w:tcPr>
            <w:tcW w:w="1475" w:type="dxa"/>
          </w:tcPr>
          <w:p>
            <w:pPr>
              <w:rPr>
                <w:rFonts w:hint="eastAsia" w:eastAsiaTheme="minorEastAsia"/>
                <w:vertAlign w:val="baseline"/>
                <w:lang w:eastAsia="zh-CN"/>
              </w:rPr>
            </w:pPr>
            <w:r>
              <w:rPr>
                <w:rFonts w:hint="eastAsia"/>
                <w:vertAlign w:val="baseline"/>
                <w:lang w:eastAsia="zh-CN"/>
              </w:rPr>
              <w:t>企业名称</w:t>
            </w:r>
          </w:p>
        </w:tc>
        <w:tc>
          <w:tcPr>
            <w:tcW w:w="1600" w:type="dxa"/>
          </w:tcPr>
          <w:p>
            <w:pPr>
              <w:rPr>
                <w:rFonts w:hint="eastAsia" w:eastAsiaTheme="minorEastAsia"/>
                <w:vertAlign w:val="baseline"/>
                <w:lang w:eastAsia="zh-CN"/>
              </w:rPr>
            </w:pPr>
            <w:r>
              <w:rPr>
                <w:rFonts w:hint="eastAsia"/>
                <w:vertAlign w:val="baseline"/>
                <w:lang w:eastAsia="zh-CN"/>
              </w:rPr>
              <w:t>需求名称</w:t>
            </w:r>
          </w:p>
        </w:tc>
        <w:tc>
          <w:tcPr>
            <w:tcW w:w="3964" w:type="dxa"/>
          </w:tcPr>
          <w:p>
            <w:pPr>
              <w:rPr>
                <w:rFonts w:hint="eastAsia" w:eastAsiaTheme="minorEastAsia"/>
                <w:vertAlign w:val="baseline"/>
                <w:lang w:eastAsia="zh-CN"/>
              </w:rPr>
            </w:pPr>
            <w:r>
              <w:rPr>
                <w:rFonts w:hint="eastAsia"/>
                <w:vertAlign w:val="baseline"/>
                <w:lang w:eastAsia="zh-CN"/>
              </w:rPr>
              <w:t>项目描述</w:t>
            </w:r>
          </w:p>
        </w:tc>
        <w:tc>
          <w:tcPr>
            <w:tcW w:w="2291" w:type="dxa"/>
          </w:tcPr>
          <w:p>
            <w:pPr>
              <w:rPr>
                <w:rFonts w:hint="eastAsia" w:eastAsiaTheme="minorEastAsia"/>
                <w:vertAlign w:val="baseline"/>
                <w:lang w:eastAsia="zh-CN"/>
              </w:rPr>
            </w:pPr>
            <w:r>
              <w:rPr>
                <w:rFonts w:hint="eastAsia"/>
                <w:vertAlign w:val="baseline"/>
                <w:lang w:eastAsia="zh-CN"/>
              </w:rPr>
              <w:t>技术研究方向</w:t>
            </w:r>
          </w:p>
        </w:tc>
        <w:tc>
          <w:tcPr>
            <w:tcW w:w="1186" w:type="dxa"/>
          </w:tcPr>
          <w:p>
            <w:pPr>
              <w:rPr>
                <w:rFonts w:hint="eastAsia" w:eastAsiaTheme="minorEastAsia"/>
                <w:vertAlign w:val="baseline"/>
                <w:lang w:eastAsia="zh-CN"/>
              </w:rPr>
            </w:pPr>
            <w:r>
              <w:rPr>
                <w:rFonts w:hint="eastAsia"/>
                <w:vertAlign w:val="baseline"/>
                <w:lang w:eastAsia="zh-CN"/>
              </w:rPr>
              <w:t>投资额度（万元）</w:t>
            </w:r>
          </w:p>
        </w:tc>
        <w:tc>
          <w:tcPr>
            <w:tcW w:w="682" w:type="dxa"/>
          </w:tcPr>
          <w:p>
            <w:pPr>
              <w:rPr>
                <w:rFonts w:hint="eastAsia" w:eastAsiaTheme="minorEastAsia"/>
                <w:vertAlign w:val="baseline"/>
                <w:lang w:eastAsia="zh-CN"/>
              </w:rPr>
            </w:pPr>
            <w:r>
              <w:rPr>
                <w:rFonts w:hint="eastAsia"/>
                <w:vertAlign w:val="baseline"/>
                <w:lang w:eastAsia="zh-CN"/>
              </w:rPr>
              <w:t>合作方式</w:t>
            </w:r>
          </w:p>
        </w:tc>
        <w:tc>
          <w:tcPr>
            <w:tcW w:w="1037" w:type="dxa"/>
          </w:tcPr>
          <w:p>
            <w:pPr>
              <w:rPr>
                <w:rFonts w:hint="eastAsia" w:eastAsiaTheme="minorEastAsia"/>
                <w:vertAlign w:val="baseline"/>
                <w:lang w:eastAsia="zh-CN"/>
              </w:rPr>
            </w:pPr>
            <w:r>
              <w:rPr>
                <w:rFonts w:hint="eastAsia"/>
                <w:vertAlign w:val="baseline"/>
                <w:lang w:eastAsia="zh-CN"/>
              </w:rPr>
              <w:t>拟合作高校</w:t>
            </w:r>
          </w:p>
        </w:tc>
        <w:tc>
          <w:tcPr>
            <w:tcW w:w="668" w:type="dxa"/>
          </w:tcPr>
          <w:p>
            <w:pPr>
              <w:rPr>
                <w:rFonts w:hint="eastAsia" w:eastAsiaTheme="minorEastAsia"/>
                <w:vertAlign w:val="baseline"/>
                <w:lang w:eastAsia="zh-CN"/>
              </w:rPr>
            </w:pPr>
            <w:r>
              <w:rPr>
                <w:rFonts w:hint="eastAsia"/>
                <w:vertAlign w:val="baseline"/>
                <w:lang w:eastAsia="zh-CN"/>
              </w:rPr>
              <w:t>发布人</w:t>
            </w:r>
          </w:p>
        </w:tc>
        <w:tc>
          <w:tcPr>
            <w:tcW w:w="746" w:type="dxa"/>
          </w:tcPr>
          <w:p>
            <w:pPr>
              <w:rPr>
                <w:rFonts w:hint="eastAsia" w:eastAsiaTheme="minorEastAsia"/>
                <w:vertAlign w:val="baseline"/>
                <w:lang w:eastAsia="zh-CN"/>
              </w:rPr>
            </w:pPr>
            <w:r>
              <w:rPr>
                <w:rFonts w:hint="eastAsia"/>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trPr>
        <w:tc>
          <w:tcPr>
            <w:tcW w:w="525" w:type="dxa"/>
          </w:tcPr>
          <w:p>
            <w:pPr>
              <w:rPr>
                <w:rFonts w:hint="eastAsia"/>
                <w:vertAlign w:val="baseline"/>
                <w:lang w:val="en-US" w:eastAsia="zh-CN"/>
              </w:rPr>
            </w:pPr>
            <w:r>
              <w:rPr>
                <w:rFonts w:hint="eastAsia"/>
                <w:vertAlign w:val="baseline"/>
                <w:lang w:val="en-US" w:eastAsia="zh-CN"/>
              </w:rPr>
              <w:t>1</w:t>
            </w:r>
          </w:p>
        </w:tc>
        <w:tc>
          <w:tcPr>
            <w:tcW w:w="1475" w:type="dxa"/>
          </w:tcPr>
          <w:p>
            <w:pPr>
              <w:rPr>
                <w:rFonts w:hint="eastAsia"/>
                <w:vertAlign w:val="baseline"/>
                <w:lang w:eastAsia="zh-CN"/>
              </w:rPr>
            </w:pPr>
            <w:r>
              <w:rPr>
                <w:rFonts w:hint="eastAsia"/>
                <w:vertAlign w:val="baseline"/>
                <w:lang w:eastAsia="zh-CN"/>
              </w:rPr>
              <w:t>中陕核核盛科技有限公司</w:t>
            </w:r>
          </w:p>
        </w:tc>
        <w:tc>
          <w:tcPr>
            <w:tcW w:w="1600" w:type="dxa"/>
          </w:tcPr>
          <w:p>
            <w:pPr>
              <w:rPr>
                <w:rFonts w:hint="eastAsia"/>
                <w:vertAlign w:val="baseline"/>
              </w:rPr>
            </w:pPr>
            <w:r>
              <w:rPr>
                <w:rFonts w:hint="eastAsia"/>
                <w:vertAlign w:val="baseline"/>
              </w:rPr>
              <w:t>有关F-18、Y-90、Ga-68等放射性药物的研发制备</w:t>
            </w:r>
          </w:p>
        </w:tc>
        <w:tc>
          <w:tcPr>
            <w:tcW w:w="3964" w:type="dxa"/>
          </w:tcPr>
          <w:p>
            <w:pPr>
              <w:rPr>
                <w:rFonts w:hint="eastAsia"/>
                <w:vertAlign w:val="baseline"/>
              </w:rPr>
            </w:pPr>
            <w:r>
              <w:rPr>
                <w:rFonts w:hint="eastAsia"/>
                <w:vertAlign w:val="baseline"/>
              </w:rPr>
              <w:t>核盛公司目前为正电子显影药物（F18-FDG等）生产制备项目做项目前准备工作，同时储备了一批靶向核素治疗药物项目，需要有关专家对项目的技术路线、药物临床研发等关键问题作出进一步的指导。</w:t>
            </w:r>
          </w:p>
        </w:tc>
        <w:tc>
          <w:tcPr>
            <w:tcW w:w="2291" w:type="dxa"/>
          </w:tcPr>
          <w:p>
            <w:pPr>
              <w:rPr>
                <w:rFonts w:hint="eastAsia"/>
                <w:vertAlign w:val="baseline"/>
              </w:rPr>
            </w:pPr>
            <w:r>
              <w:rPr>
                <w:rFonts w:hint="eastAsia"/>
                <w:vertAlign w:val="baseline"/>
              </w:rPr>
              <w:t>利用回旋加速器生产F-18FDG等正电子显影剂的技术规范；用于治疗肝癌Y-90玻璃微球的药物研发；Ga-68、Lu-177等靶向核素治疗相关药物的研发。</w:t>
            </w:r>
          </w:p>
        </w:tc>
        <w:tc>
          <w:tcPr>
            <w:tcW w:w="1186" w:type="dxa"/>
          </w:tcPr>
          <w:p>
            <w:pPr>
              <w:rPr>
                <w:rFonts w:hint="eastAsia"/>
                <w:vertAlign w:val="baseline"/>
                <w:lang w:val="en-US" w:eastAsia="zh-CN"/>
              </w:rPr>
            </w:pPr>
            <w:r>
              <w:rPr>
                <w:rFonts w:hint="eastAsia"/>
                <w:vertAlign w:val="baseline"/>
                <w:lang w:val="en-US" w:eastAsia="zh-CN"/>
              </w:rPr>
              <w:t>3000.00</w:t>
            </w:r>
          </w:p>
        </w:tc>
        <w:tc>
          <w:tcPr>
            <w:tcW w:w="682" w:type="dxa"/>
          </w:tcPr>
          <w:p>
            <w:pPr>
              <w:rPr>
                <w:rFonts w:hint="eastAsia"/>
                <w:vertAlign w:val="baseline"/>
                <w:lang w:eastAsia="zh-CN"/>
              </w:rPr>
            </w:pPr>
            <w:r>
              <w:rPr>
                <w:rFonts w:hint="eastAsia"/>
                <w:vertAlign w:val="baseline"/>
                <w:lang w:eastAsia="zh-CN"/>
              </w:rPr>
              <w:t>不限</w:t>
            </w:r>
          </w:p>
        </w:tc>
        <w:tc>
          <w:tcPr>
            <w:tcW w:w="1037" w:type="dxa"/>
          </w:tcPr>
          <w:p>
            <w:pPr>
              <w:rPr>
                <w:rFonts w:hint="eastAsia"/>
                <w:vertAlign w:val="baseline"/>
                <w:lang w:eastAsia="zh-CN"/>
              </w:rPr>
            </w:pPr>
            <w:r>
              <w:rPr>
                <w:rFonts w:hint="eastAsia"/>
                <w:vertAlign w:val="baseline"/>
                <w:lang w:eastAsia="zh-CN"/>
              </w:rPr>
              <w:t>未定</w:t>
            </w:r>
          </w:p>
        </w:tc>
        <w:tc>
          <w:tcPr>
            <w:tcW w:w="668" w:type="dxa"/>
          </w:tcPr>
          <w:p>
            <w:pPr>
              <w:rPr>
                <w:rFonts w:hint="eastAsia"/>
                <w:vertAlign w:val="baseline"/>
                <w:lang w:eastAsia="zh-CN"/>
              </w:rPr>
            </w:pPr>
            <w:r>
              <w:rPr>
                <w:rFonts w:hint="eastAsia"/>
                <w:vertAlign w:val="baseline"/>
                <w:lang w:eastAsia="zh-CN"/>
              </w:rPr>
              <w:t>刘梦皎</w:t>
            </w:r>
          </w:p>
        </w:tc>
        <w:tc>
          <w:tcPr>
            <w:tcW w:w="746" w:type="dxa"/>
          </w:tcPr>
          <w:p>
            <w:pPr>
              <w:rPr>
                <w:rFonts w:hint="eastAsia"/>
                <w:vertAlign w:val="baseline"/>
                <w:lang w:val="en-US" w:eastAsia="zh-CN"/>
              </w:rPr>
            </w:pPr>
            <w:r>
              <w:rPr>
                <w:rFonts w:hint="eastAsia"/>
                <w:vertAlign w:val="baseline"/>
                <w:lang w:val="en-US" w:eastAsia="zh-CN"/>
              </w:rPr>
              <w:t>13227812709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Pr>
          <w:p>
            <w:pPr>
              <w:rPr>
                <w:rFonts w:hint="eastAsia"/>
                <w:vertAlign w:val="baseline"/>
                <w:lang w:val="en-US" w:eastAsia="zh-CN"/>
              </w:rPr>
            </w:pPr>
            <w:r>
              <w:rPr>
                <w:rFonts w:hint="eastAsia"/>
                <w:vertAlign w:val="baseline"/>
                <w:lang w:val="en-US" w:eastAsia="zh-CN"/>
              </w:rPr>
              <w:t>2</w:t>
            </w:r>
          </w:p>
        </w:tc>
        <w:tc>
          <w:tcPr>
            <w:tcW w:w="1475" w:type="dxa"/>
            <w:vAlign w:val="top"/>
          </w:tcPr>
          <w:p>
            <w:pPr>
              <w:rPr>
                <w:rFonts w:hint="eastAsia"/>
                <w:vertAlign w:val="baseline"/>
                <w:lang w:eastAsia="zh-CN"/>
              </w:rPr>
            </w:pPr>
            <w:r>
              <w:rPr>
                <w:rFonts w:hint="eastAsia"/>
                <w:vertAlign w:val="baseline"/>
                <w:lang w:val="en-US" w:eastAsia="zh-CN"/>
              </w:rPr>
              <w:t>汉中天然谷生物科技股份有限公司</w:t>
            </w:r>
          </w:p>
        </w:tc>
        <w:tc>
          <w:tcPr>
            <w:tcW w:w="1600" w:type="dxa"/>
            <w:vAlign w:val="top"/>
          </w:tcPr>
          <w:p>
            <w:pPr>
              <w:rPr>
                <w:rFonts w:hint="eastAsia"/>
                <w:vertAlign w:val="baseline"/>
              </w:rPr>
            </w:pPr>
            <w:r>
              <w:rPr>
                <w:rFonts w:hint="eastAsia"/>
                <w:vertAlign w:val="baseline"/>
                <w:lang w:val="en-US" w:eastAsia="zh-CN"/>
              </w:rPr>
              <w:t>淫羊藿野生品种人工驯化种植以及组培、细胞发酵。</w:t>
            </w:r>
          </w:p>
        </w:tc>
        <w:tc>
          <w:tcPr>
            <w:tcW w:w="3964" w:type="dxa"/>
            <w:vAlign w:val="top"/>
          </w:tcPr>
          <w:p>
            <w:pPr>
              <w:rPr>
                <w:rFonts w:hint="eastAsia"/>
                <w:vertAlign w:val="baseline"/>
              </w:rPr>
            </w:pPr>
            <w:r>
              <w:rPr>
                <w:rFonts w:hint="eastAsia"/>
                <w:vertAlign w:val="baseline"/>
                <w:lang w:val="en-US" w:eastAsia="zh-CN"/>
              </w:rPr>
              <w:t>一方面采用在组培、植物细胞发酵、次生代谢物途径分析等领域的基础研究，采用人工添加生物素营养因子促进野生品种资源迅速扩种，实现规模引种快繁，改良适生地品种质量、产量，助力三农、服务公司。另一方面进一步深入研究分离培育出适合发酵的的组织细胞粒子及高产的发酵条件，实现工厂化生产，彻底摆脱自然环境的限制。</w:t>
            </w:r>
          </w:p>
        </w:tc>
        <w:tc>
          <w:tcPr>
            <w:tcW w:w="2291" w:type="dxa"/>
            <w:vAlign w:val="top"/>
          </w:tcPr>
          <w:p>
            <w:pPr>
              <w:rPr>
                <w:rFonts w:hint="eastAsia"/>
                <w:vertAlign w:val="baseline"/>
              </w:rPr>
            </w:pPr>
            <w:r>
              <w:rPr>
                <w:rFonts w:hint="eastAsia"/>
                <w:vertAlign w:val="baseline"/>
                <w:lang w:val="en-US" w:eastAsia="zh-CN"/>
              </w:rPr>
              <w:t>生物工程技术领域。</w:t>
            </w:r>
          </w:p>
        </w:tc>
        <w:tc>
          <w:tcPr>
            <w:tcW w:w="1186" w:type="dxa"/>
            <w:vAlign w:val="top"/>
          </w:tcPr>
          <w:p>
            <w:pPr>
              <w:rPr>
                <w:rFonts w:hint="eastAsia"/>
                <w:vertAlign w:val="baseline"/>
                <w:lang w:val="en-US" w:eastAsia="zh-CN"/>
              </w:rPr>
            </w:pPr>
            <w:r>
              <w:rPr>
                <w:rFonts w:hint="eastAsia"/>
                <w:vertAlign w:val="baseline"/>
                <w:lang w:val="en-US" w:eastAsia="zh-CN"/>
              </w:rPr>
              <w:t>60.00</w:t>
            </w:r>
          </w:p>
        </w:tc>
        <w:tc>
          <w:tcPr>
            <w:tcW w:w="682" w:type="dxa"/>
            <w:vAlign w:val="top"/>
          </w:tcPr>
          <w:p>
            <w:pPr>
              <w:rPr>
                <w:rFonts w:hint="eastAsia"/>
                <w:vertAlign w:val="baseline"/>
                <w:lang w:eastAsia="zh-CN"/>
              </w:rPr>
            </w:pPr>
            <w:r>
              <w:rPr>
                <w:rFonts w:hint="eastAsia"/>
                <w:vertAlign w:val="baseline"/>
                <w:lang w:val="en-US" w:eastAsia="zh-CN"/>
              </w:rPr>
              <w:t>校企联合</w:t>
            </w:r>
          </w:p>
        </w:tc>
        <w:tc>
          <w:tcPr>
            <w:tcW w:w="1037" w:type="dxa"/>
            <w:vAlign w:val="top"/>
          </w:tcPr>
          <w:p>
            <w:pPr>
              <w:rPr>
                <w:rFonts w:hint="eastAsia"/>
                <w:vertAlign w:val="baseline"/>
                <w:lang w:eastAsia="zh-CN"/>
              </w:rPr>
            </w:pPr>
            <w:r>
              <w:rPr>
                <w:rFonts w:hint="eastAsia"/>
                <w:vertAlign w:val="baseline"/>
                <w:lang w:val="en-US" w:eastAsia="zh-CN"/>
              </w:rPr>
              <w:t>陕西理工大</w:t>
            </w:r>
            <w:bookmarkStart w:id="0" w:name="_GoBack"/>
            <w:bookmarkEnd w:id="0"/>
            <w:r>
              <w:rPr>
                <w:rFonts w:hint="eastAsia"/>
                <w:vertAlign w:val="baseline"/>
                <w:lang w:val="en-US" w:eastAsia="zh-CN"/>
              </w:rPr>
              <w:t>学</w:t>
            </w:r>
          </w:p>
        </w:tc>
        <w:tc>
          <w:tcPr>
            <w:tcW w:w="668" w:type="dxa"/>
            <w:vAlign w:val="top"/>
          </w:tcPr>
          <w:p>
            <w:pPr>
              <w:rPr>
                <w:rFonts w:hint="eastAsia"/>
                <w:vertAlign w:val="baseline"/>
                <w:lang w:eastAsia="zh-CN"/>
              </w:rPr>
            </w:pPr>
            <w:r>
              <w:rPr>
                <w:rFonts w:hint="eastAsia"/>
                <w:vertAlign w:val="baseline"/>
                <w:lang w:val="en-US" w:eastAsia="zh-CN"/>
              </w:rPr>
              <w:t>刘建新</w:t>
            </w:r>
          </w:p>
        </w:tc>
        <w:tc>
          <w:tcPr>
            <w:tcW w:w="746" w:type="dxa"/>
            <w:vAlign w:val="top"/>
          </w:tcPr>
          <w:p>
            <w:pPr>
              <w:rPr>
                <w:rFonts w:hint="eastAsia"/>
                <w:vertAlign w:val="baseline"/>
                <w:lang w:val="en-US" w:eastAsia="zh-CN"/>
              </w:rPr>
            </w:pPr>
            <w:r>
              <w:rPr>
                <w:rFonts w:hint="eastAsia"/>
                <w:vertAlign w:val="baseline"/>
                <w:lang w:val="en-US" w:eastAsia="zh-CN"/>
              </w:rPr>
              <w:t>13474496139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top"/>
          </w:tcPr>
          <w:p>
            <w:pPr>
              <w:rPr>
                <w:rFonts w:hint="eastAsia"/>
                <w:vertAlign w:val="baseline"/>
                <w:lang w:val="en-US" w:eastAsia="zh-CN"/>
              </w:rPr>
            </w:pPr>
            <w:r>
              <w:rPr>
                <w:rFonts w:hint="eastAsia"/>
                <w:vertAlign w:val="baseline"/>
                <w:lang w:val="en-US" w:eastAsia="zh-CN"/>
              </w:rPr>
              <w:t>3</w:t>
            </w:r>
          </w:p>
        </w:tc>
        <w:tc>
          <w:tcPr>
            <w:tcW w:w="1475" w:type="dxa"/>
            <w:vAlign w:val="top"/>
          </w:tcPr>
          <w:p>
            <w:pPr>
              <w:rPr>
                <w:rFonts w:hint="eastAsia"/>
                <w:vertAlign w:val="baseline"/>
                <w:lang w:val="en-US" w:eastAsia="zh-CN"/>
              </w:rPr>
            </w:pPr>
            <w:r>
              <w:rPr>
                <w:rFonts w:hint="eastAsia"/>
                <w:vertAlign w:val="baseline"/>
                <w:lang w:val="en-US" w:eastAsia="zh-CN"/>
              </w:rPr>
              <w:t>汉中天然谷生物科技股份有限公司</w:t>
            </w:r>
          </w:p>
        </w:tc>
        <w:tc>
          <w:tcPr>
            <w:tcW w:w="1600" w:type="dxa"/>
            <w:vAlign w:val="top"/>
          </w:tcPr>
          <w:p>
            <w:pPr>
              <w:rPr>
                <w:rFonts w:hint="eastAsia"/>
                <w:vertAlign w:val="baseline"/>
                <w:lang w:val="en-US" w:eastAsia="zh-CN"/>
              </w:rPr>
            </w:pPr>
            <w:r>
              <w:rPr>
                <w:rFonts w:hint="eastAsia"/>
                <w:vertAlign w:val="baseline"/>
                <w:lang w:val="en-US" w:eastAsia="zh-CN"/>
              </w:rPr>
              <w:t>新产品开发以及国外优质原料引进</w:t>
            </w:r>
          </w:p>
        </w:tc>
        <w:tc>
          <w:tcPr>
            <w:tcW w:w="3964" w:type="dxa"/>
            <w:vAlign w:val="top"/>
          </w:tcPr>
          <w:p>
            <w:pPr>
              <w:rPr>
                <w:rFonts w:hint="eastAsia"/>
                <w:vertAlign w:val="baseline"/>
                <w:lang w:val="en-US" w:eastAsia="zh-CN"/>
              </w:rPr>
            </w:pPr>
            <w:r>
              <w:rPr>
                <w:rFonts w:hint="eastAsia"/>
                <w:vertAlign w:val="baseline"/>
                <w:lang w:val="en-US" w:eastAsia="zh-CN"/>
              </w:rPr>
              <w:t>随着医学健康的研究新发现及新保健理念的提出，产品更新换代日益加快，需要公司研发紧跟市场健康消费热点，充分利用各种渠道了解前沿科研信息、市场信息，对市场未来几年的需求做出预判，通过引进、转化新科研成果、新工艺、新设备；积极筛选全球范围的优良保健品传统习用资源和发掘新资源，他山之石可以攻玉，希望通过市场信息、原料、工艺、设备等环节的调研、升级换代来丰富公司新产品结构，更快更好的服务市场。新产品目标领域：营养补充剂、化妆品、生物农药、动物饲料添加剂等。</w:t>
            </w:r>
          </w:p>
        </w:tc>
        <w:tc>
          <w:tcPr>
            <w:tcW w:w="2291" w:type="dxa"/>
            <w:vAlign w:val="top"/>
          </w:tcPr>
          <w:p>
            <w:pPr>
              <w:rPr>
                <w:rFonts w:hint="eastAsia"/>
                <w:vertAlign w:val="baseline"/>
                <w:lang w:val="en-US" w:eastAsia="zh-CN"/>
              </w:rPr>
            </w:pPr>
            <w:r>
              <w:rPr>
                <w:rFonts w:hint="eastAsia"/>
                <w:vertAlign w:val="baseline"/>
                <w:lang w:val="en-US" w:eastAsia="zh-CN"/>
              </w:rPr>
              <w:t>医药保健品制造领域。</w:t>
            </w:r>
          </w:p>
          <w:p>
            <w:pPr>
              <w:rPr>
                <w:rFonts w:hint="eastAsia"/>
                <w:vertAlign w:val="baseline"/>
                <w:lang w:val="en-US" w:eastAsia="zh-CN"/>
              </w:rPr>
            </w:pPr>
          </w:p>
        </w:tc>
        <w:tc>
          <w:tcPr>
            <w:tcW w:w="1186" w:type="dxa"/>
            <w:vAlign w:val="top"/>
          </w:tcPr>
          <w:p>
            <w:pPr>
              <w:rPr>
                <w:rFonts w:hint="eastAsia"/>
                <w:vertAlign w:val="baseline"/>
                <w:lang w:val="en-US" w:eastAsia="zh-CN"/>
              </w:rPr>
            </w:pPr>
            <w:r>
              <w:rPr>
                <w:rFonts w:hint="eastAsia"/>
                <w:vertAlign w:val="baseline"/>
                <w:lang w:val="en-US" w:eastAsia="zh-CN"/>
              </w:rPr>
              <w:t>30.00</w:t>
            </w:r>
          </w:p>
        </w:tc>
        <w:tc>
          <w:tcPr>
            <w:tcW w:w="682" w:type="dxa"/>
            <w:vAlign w:val="top"/>
          </w:tcPr>
          <w:p>
            <w:pPr>
              <w:rPr>
                <w:rFonts w:hint="eastAsia"/>
                <w:vertAlign w:val="baseline"/>
                <w:lang w:val="en-US" w:eastAsia="zh-CN"/>
              </w:rPr>
            </w:pPr>
            <w:r>
              <w:rPr>
                <w:rFonts w:hint="eastAsia"/>
                <w:vertAlign w:val="baseline"/>
                <w:lang w:val="en-US" w:eastAsia="zh-CN"/>
              </w:rPr>
              <w:t>引进、共研</w:t>
            </w:r>
          </w:p>
        </w:tc>
        <w:tc>
          <w:tcPr>
            <w:tcW w:w="1037" w:type="dxa"/>
            <w:vAlign w:val="top"/>
          </w:tcPr>
          <w:p>
            <w:pPr>
              <w:rPr>
                <w:rFonts w:hint="eastAsia"/>
                <w:vertAlign w:val="baseline"/>
                <w:lang w:val="en-US" w:eastAsia="zh-CN"/>
              </w:rPr>
            </w:pPr>
            <w:r>
              <w:rPr>
                <w:rFonts w:hint="eastAsia"/>
                <w:vertAlign w:val="baseline"/>
                <w:lang w:val="en-US" w:eastAsia="zh-CN"/>
              </w:rPr>
              <w:t>西北大学、西北农林大学</w:t>
            </w:r>
          </w:p>
        </w:tc>
        <w:tc>
          <w:tcPr>
            <w:tcW w:w="668" w:type="dxa"/>
            <w:vAlign w:val="top"/>
          </w:tcPr>
          <w:p>
            <w:pPr>
              <w:rPr>
                <w:rFonts w:hint="eastAsia"/>
                <w:vertAlign w:val="baseline"/>
                <w:lang w:val="en-US" w:eastAsia="zh-CN"/>
              </w:rPr>
            </w:pPr>
            <w:r>
              <w:rPr>
                <w:rFonts w:hint="eastAsia"/>
                <w:vertAlign w:val="baseline"/>
                <w:lang w:val="en-US" w:eastAsia="zh-CN"/>
              </w:rPr>
              <w:t>刘建新</w:t>
            </w:r>
          </w:p>
        </w:tc>
        <w:tc>
          <w:tcPr>
            <w:tcW w:w="746" w:type="dxa"/>
            <w:vAlign w:val="top"/>
          </w:tcPr>
          <w:p>
            <w:pPr>
              <w:rPr>
                <w:rFonts w:hint="eastAsia"/>
                <w:vertAlign w:val="baseline"/>
                <w:lang w:val="en-US" w:eastAsia="zh-CN"/>
              </w:rPr>
            </w:pPr>
            <w:r>
              <w:rPr>
                <w:rFonts w:hint="eastAsia"/>
                <w:vertAlign w:val="baseline"/>
                <w:lang w:val="en-US" w:eastAsia="zh-CN"/>
              </w:rPr>
              <w:t>13474496139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vAlign w:val="top"/>
          </w:tcPr>
          <w:p>
            <w:pPr>
              <w:rPr>
                <w:rFonts w:hint="eastAsia"/>
                <w:vertAlign w:val="baseline"/>
                <w:lang w:val="en-US" w:eastAsia="zh-CN"/>
              </w:rPr>
            </w:pPr>
            <w:r>
              <w:rPr>
                <w:rFonts w:hint="eastAsia"/>
                <w:vertAlign w:val="baseline"/>
                <w:lang w:val="en-US" w:eastAsia="zh-CN"/>
              </w:rPr>
              <w:t>4</w:t>
            </w:r>
          </w:p>
        </w:tc>
        <w:tc>
          <w:tcPr>
            <w:tcW w:w="1475" w:type="dxa"/>
            <w:vAlign w:val="center"/>
          </w:tcPr>
          <w:p>
            <w:pPr>
              <w:rPr>
                <w:rFonts w:hint="eastAsia"/>
                <w:vertAlign w:val="baseline"/>
                <w:lang w:val="en-US" w:eastAsia="zh-CN"/>
              </w:rPr>
            </w:pPr>
            <w:r>
              <w:rPr>
                <w:rFonts w:hint="eastAsia"/>
                <w:vertAlign w:val="baseline"/>
                <w:lang w:val="en-US" w:eastAsia="zh-CN"/>
              </w:rPr>
              <w:t>陕西核昌机电装备有限公司</w:t>
            </w:r>
          </w:p>
          <w:p>
            <w:pPr>
              <w:rPr>
                <w:rFonts w:hint="eastAsia"/>
                <w:vertAlign w:val="baseline"/>
                <w:lang w:val="en-US" w:eastAsia="zh-CN"/>
              </w:rPr>
            </w:pPr>
          </w:p>
        </w:tc>
        <w:tc>
          <w:tcPr>
            <w:tcW w:w="1600" w:type="dxa"/>
            <w:vAlign w:val="top"/>
          </w:tcPr>
          <w:p>
            <w:pPr>
              <w:rPr>
                <w:rFonts w:hint="eastAsia"/>
                <w:vertAlign w:val="baseline"/>
                <w:lang w:val="en-US" w:eastAsia="zh-CN"/>
              </w:rPr>
            </w:pPr>
            <w:r>
              <w:rPr>
                <w:rFonts w:hint="eastAsia"/>
                <w:vertAlign w:val="baseline"/>
                <w:lang w:val="en-US" w:eastAsia="zh-CN"/>
              </w:rPr>
              <w:t>HQY-800plus全液压钻机液压控制技术</w:t>
            </w:r>
          </w:p>
        </w:tc>
        <w:tc>
          <w:tcPr>
            <w:tcW w:w="3964" w:type="dxa"/>
            <w:vAlign w:val="top"/>
          </w:tcPr>
          <w:p>
            <w:pPr>
              <w:rPr>
                <w:rFonts w:hint="eastAsia"/>
                <w:vertAlign w:val="baseline"/>
                <w:lang w:val="en-US" w:eastAsia="zh-CN"/>
              </w:rPr>
            </w:pPr>
            <w:r>
              <w:rPr>
                <w:rFonts w:hint="eastAsia"/>
                <w:vertAlign w:val="baseline"/>
                <w:lang w:val="en-US" w:eastAsia="zh-CN"/>
              </w:rPr>
              <w:t>采用模块化、轻便化、小型化、集成度高的便携式钻探施工及其配套设备。钻探施工循环液应采用无固相或低固相的优质环保泥浆，最大限度减少对生态环境的污染和破坏。需要解决800m以内φ75口径绳索取芯铀矿岩心勘探，可进行45°斜孔施工，模块化设计，且便于搬迁和上山，整机解体方便，解体部件最大重量不超过185kg，施工效率达100m/日以上。液压控制系统的设计：提供三个动力单元分别带动三个油泵，采用液压合流分流技术驱动液压马达或液压泥浆泵或液压绞车运动，液压马达驱动动力头转速范0-1200r/min,输出扭矩3000N•M，避免系统发热，降能节耗，提高系统的效率。</w:t>
            </w:r>
          </w:p>
          <w:p>
            <w:pPr>
              <w:rPr>
                <w:rFonts w:hint="eastAsia"/>
                <w:vertAlign w:val="baseline"/>
                <w:lang w:val="en-US" w:eastAsia="zh-CN"/>
              </w:rPr>
            </w:pPr>
            <w:r>
              <w:rPr>
                <w:rFonts w:hint="eastAsia"/>
                <w:vertAlign w:val="baseline"/>
                <w:lang w:val="en-US" w:eastAsia="zh-CN"/>
              </w:rPr>
              <w:t>给进行程1.82m;</w:t>
            </w:r>
          </w:p>
          <w:p>
            <w:pPr>
              <w:rPr>
                <w:rFonts w:hint="eastAsia"/>
                <w:vertAlign w:val="baseline"/>
                <w:lang w:val="en-US" w:eastAsia="zh-CN"/>
              </w:rPr>
            </w:pPr>
            <w:r>
              <w:rPr>
                <w:rFonts w:hint="eastAsia"/>
                <w:vertAlign w:val="baseline"/>
                <w:lang w:val="en-US" w:eastAsia="zh-CN"/>
              </w:rPr>
              <w:t>提拔力130kN,给进力65kN；</w:t>
            </w:r>
          </w:p>
          <w:p>
            <w:pPr>
              <w:rPr>
                <w:rFonts w:hint="eastAsia"/>
                <w:vertAlign w:val="baseline"/>
                <w:lang w:val="en-US" w:eastAsia="zh-CN"/>
              </w:rPr>
            </w:pPr>
            <w:r>
              <w:rPr>
                <w:rFonts w:hint="eastAsia"/>
                <w:vertAlign w:val="baseline"/>
                <w:lang w:val="en-US" w:eastAsia="zh-CN"/>
              </w:rPr>
              <w:t>钻进角度45°～90°；</w:t>
            </w:r>
          </w:p>
          <w:p>
            <w:pPr>
              <w:rPr>
                <w:rFonts w:hint="eastAsia"/>
                <w:vertAlign w:val="baseline"/>
                <w:lang w:val="en-US" w:eastAsia="zh-CN"/>
              </w:rPr>
            </w:pPr>
            <w:r>
              <w:rPr>
                <w:rFonts w:hint="eastAsia"/>
                <w:vertAlign w:val="baseline"/>
                <w:lang w:val="en-US" w:eastAsia="zh-CN"/>
              </w:rPr>
              <w:t>最大旋转扭矩2200Nm；</w:t>
            </w:r>
          </w:p>
          <w:p>
            <w:pPr>
              <w:rPr>
                <w:rFonts w:hint="eastAsia"/>
                <w:vertAlign w:val="baseline"/>
                <w:lang w:val="en-US" w:eastAsia="zh-CN"/>
              </w:rPr>
            </w:pPr>
            <w:r>
              <w:rPr>
                <w:rFonts w:hint="eastAsia"/>
                <w:vertAlign w:val="baseline"/>
                <w:lang w:val="en-US" w:eastAsia="zh-CN"/>
              </w:rPr>
              <w:t>最大转速1000rpm;</w:t>
            </w:r>
          </w:p>
          <w:p>
            <w:pPr>
              <w:rPr>
                <w:rFonts w:hint="eastAsia"/>
                <w:vertAlign w:val="baseline"/>
                <w:lang w:val="en-US" w:eastAsia="zh-CN"/>
              </w:rPr>
            </w:pPr>
            <w:r>
              <w:rPr>
                <w:rFonts w:hint="eastAsia"/>
                <w:vertAlign w:val="baseline"/>
                <w:lang w:val="en-US" w:eastAsia="zh-CN"/>
              </w:rPr>
              <w:t>功率33×3kw;</w:t>
            </w:r>
          </w:p>
          <w:p>
            <w:pPr>
              <w:rPr>
                <w:rFonts w:hint="eastAsia"/>
                <w:vertAlign w:val="baseline"/>
                <w:lang w:val="en-US" w:eastAsia="zh-CN"/>
              </w:rPr>
            </w:pPr>
            <w:r>
              <w:rPr>
                <w:rFonts w:hint="eastAsia"/>
                <w:vertAlign w:val="baseline"/>
                <w:lang w:val="en-US" w:eastAsia="zh-CN"/>
              </w:rPr>
              <w:t>最大解体部件质量185kg</w:t>
            </w:r>
          </w:p>
        </w:tc>
        <w:tc>
          <w:tcPr>
            <w:tcW w:w="2291" w:type="dxa"/>
            <w:vAlign w:val="top"/>
          </w:tcPr>
          <w:p>
            <w:pPr>
              <w:rPr>
                <w:rFonts w:hint="eastAsia"/>
                <w:vertAlign w:val="baseline"/>
                <w:lang w:val="en-US" w:eastAsia="zh-CN"/>
              </w:rPr>
            </w:pPr>
            <w:r>
              <w:rPr>
                <w:rFonts w:hint="eastAsia"/>
                <w:vertAlign w:val="baseline"/>
                <w:lang w:val="en-US" w:eastAsia="zh-CN"/>
              </w:rPr>
              <w:t>机器制造</w:t>
            </w:r>
          </w:p>
        </w:tc>
        <w:tc>
          <w:tcPr>
            <w:tcW w:w="1186" w:type="dxa"/>
            <w:vAlign w:val="center"/>
          </w:tcPr>
          <w:p>
            <w:pPr>
              <w:rPr>
                <w:rFonts w:hint="eastAsia"/>
                <w:vertAlign w:val="baseline"/>
                <w:lang w:val="en-US" w:eastAsia="zh-CN"/>
              </w:rPr>
            </w:pPr>
            <w:r>
              <w:rPr>
                <w:rFonts w:hint="eastAsia"/>
                <w:vertAlign w:val="baseline"/>
                <w:lang w:val="en-US" w:eastAsia="zh-CN"/>
              </w:rPr>
              <w:t>200.00</w:t>
            </w:r>
          </w:p>
        </w:tc>
        <w:tc>
          <w:tcPr>
            <w:tcW w:w="682" w:type="dxa"/>
            <w:vAlign w:val="top"/>
          </w:tcPr>
          <w:p>
            <w:pPr>
              <w:rPr>
                <w:rFonts w:hint="eastAsia"/>
                <w:vertAlign w:val="baseline"/>
                <w:lang w:val="en-US" w:eastAsia="zh-CN"/>
              </w:rPr>
            </w:pPr>
            <w:r>
              <w:rPr>
                <w:rFonts w:hint="eastAsia"/>
                <w:vertAlign w:val="baseline"/>
                <w:lang w:val="en-US" w:eastAsia="zh-CN"/>
              </w:rPr>
              <w:t>联合开发或者人才培养</w:t>
            </w:r>
          </w:p>
        </w:tc>
        <w:tc>
          <w:tcPr>
            <w:tcW w:w="1037" w:type="dxa"/>
            <w:vAlign w:val="center"/>
          </w:tcPr>
          <w:p>
            <w:pPr>
              <w:rPr>
                <w:rFonts w:hint="eastAsia"/>
                <w:vertAlign w:val="baseline"/>
                <w:lang w:val="en-US" w:eastAsia="zh-CN"/>
              </w:rPr>
            </w:pPr>
            <w:r>
              <w:rPr>
                <w:rFonts w:hint="eastAsia"/>
                <w:vertAlign w:val="baseline"/>
                <w:lang w:val="en-US" w:eastAsia="zh-CN"/>
              </w:rPr>
              <w:t>西安交通大学</w:t>
            </w:r>
          </w:p>
        </w:tc>
        <w:tc>
          <w:tcPr>
            <w:tcW w:w="668" w:type="dxa"/>
            <w:vAlign w:val="center"/>
          </w:tcPr>
          <w:p>
            <w:pPr>
              <w:rPr>
                <w:rFonts w:hint="eastAsia"/>
                <w:vertAlign w:val="baseline"/>
                <w:lang w:val="en-US" w:eastAsia="zh-CN"/>
              </w:rPr>
            </w:pPr>
            <w:r>
              <w:rPr>
                <w:rFonts w:hint="eastAsia"/>
                <w:vertAlign w:val="baseline"/>
                <w:lang w:val="en-US" w:eastAsia="zh-CN"/>
              </w:rPr>
              <w:t>傅</w:t>
            </w:r>
          </w:p>
          <w:p>
            <w:pPr>
              <w:rPr>
                <w:rFonts w:hint="eastAsia"/>
                <w:vertAlign w:val="baseline"/>
                <w:lang w:val="en-US" w:eastAsia="zh-CN"/>
              </w:rPr>
            </w:pPr>
            <w:r>
              <w:rPr>
                <w:rFonts w:hint="eastAsia"/>
                <w:vertAlign w:val="baseline"/>
                <w:lang w:val="en-US" w:eastAsia="zh-CN"/>
              </w:rPr>
              <w:t>彩</w:t>
            </w:r>
          </w:p>
          <w:p>
            <w:pPr>
              <w:rPr>
                <w:rFonts w:hint="eastAsia"/>
                <w:vertAlign w:val="baseline"/>
                <w:lang w:val="en-US" w:eastAsia="zh-CN"/>
              </w:rPr>
            </w:pPr>
            <w:r>
              <w:rPr>
                <w:rFonts w:hint="eastAsia"/>
                <w:vertAlign w:val="baseline"/>
                <w:lang w:val="en-US" w:eastAsia="zh-CN"/>
              </w:rPr>
              <w:t>霞</w:t>
            </w:r>
          </w:p>
        </w:tc>
        <w:tc>
          <w:tcPr>
            <w:tcW w:w="746" w:type="dxa"/>
            <w:vAlign w:val="center"/>
          </w:tcPr>
          <w:p>
            <w:pPr>
              <w:rPr>
                <w:rFonts w:hint="eastAsia"/>
                <w:vertAlign w:val="baseline"/>
                <w:lang w:val="en-US" w:eastAsia="zh-CN"/>
              </w:rPr>
            </w:pPr>
            <w:r>
              <w:rPr>
                <w:rFonts w:hint="eastAsia"/>
                <w:vertAlign w:val="baseline"/>
                <w:lang w:val="en-US" w:eastAsia="zh-CN"/>
              </w:rPr>
              <w:t>18091029572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Pr>
          <w:p>
            <w:pPr>
              <w:rPr>
                <w:rFonts w:hint="eastAsia"/>
                <w:vertAlign w:val="baseline"/>
                <w:lang w:val="en-US" w:eastAsia="zh-CN"/>
              </w:rPr>
            </w:pPr>
            <w:r>
              <w:rPr>
                <w:rFonts w:hint="eastAsia"/>
                <w:vertAlign w:val="baseline"/>
                <w:lang w:val="en-US" w:eastAsia="zh-CN"/>
              </w:rPr>
              <w:t>5</w:t>
            </w:r>
          </w:p>
        </w:tc>
        <w:tc>
          <w:tcPr>
            <w:tcW w:w="1475" w:type="dxa"/>
            <w:vAlign w:val="center"/>
          </w:tcPr>
          <w:p>
            <w:pPr>
              <w:rPr>
                <w:rFonts w:hint="eastAsia"/>
                <w:vertAlign w:val="baseline"/>
                <w:lang w:val="en-US" w:eastAsia="zh-CN"/>
              </w:rPr>
            </w:pPr>
            <w:r>
              <w:rPr>
                <w:rFonts w:hint="eastAsia"/>
                <w:vertAlign w:val="baseline"/>
                <w:lang w:val="en-US" w:eastAsia="zh-CN"/>
              </w:rPr>
              <w:t>中陕核宜威新能源有限公司</w:t>
            </w:r>
          </w:p>
        </w:tc>
        <w:tc>
          <w:tcPr>
            <w:tcW w:w="1600" w:type="dxa"/>
            <w:vAlign w:val="top"/>
          </w:tcPr>
          <w:p>
            <w:pPr>
              <w:rPr>
                <w:rFonts w:hint="eastAsia"/>
                <w:vertAlign w:val="baseline"/>
                <w:lang w:val="en-US" w:eastAsia="zh-CN"/>
              </w:rPr>
            </w:pPr>
            <w:r>
              <w:rPr>
                <w:rFonts w:hint="eastAsia"/>
                <w:vertAlign w:val="baseline"/>
                <w:lang w:val="en-US" w:eastAsia="zh-CN"/>
              </w:rPr>
              <w:t xml:space="preserve">      超低温风冷模块机控制系统开发</w:t>
            </w:r>
          </w:p>
        </w:tc>
        <w:tc>
          <w:tcPr>
            <w:tcW w:w="3964" w:type="dxa"/>
            <w:vAlign w:val="top"/>
          </w:tcPr>
          <w:p>
            <w:pPr>
              <w:rPr>
                <w:rFonts w:hint="eastAsia"/>
                <w:vertAlign w:val="baseline"/>
                <w:lang w:val="en-US" w:eastAsia="zh-CN"/>
              </w:rPr>
            </w:pPr>
            <w:r>
              <w:rPr>
                <w:rFonts w:hint="eastAsia"/>
                <w:vertAlign w:val="baseline"/>
                <w:lang w:val="en-US" w:eastAsia="zh-CN"/>
              </w:rPr>
              <w:t xml:space="preserve"> 压缩机并联二级节流闪蒸器直流变频系统控制。</w:t>
            </w:r>
          </w:p>
          <w:p>
            <w:pPr>
              <w:rPr>
                <w:rFonts w:hint="eastAsia"/>
                <w:vertAlign w:val="baseline"/>
                <w:lang w:val="en-US" w:eastAsia="zh-CN"/>
              </w:rPr>
            </w:pPr>
            <w:r>
              <w:rPr>
                <w:rFonts w:hint="eastAsia"/>
                <w:vertAlign w:val="baseline"/>
                <w:lang w:val="en-US" w:eastAsia="zh-CN"/>
              </w:rPr>
              <w:t>两台涡旋压缩机排气口和吸气口共用一个回路；</w:t>
            </w:r>
          </w:p>
          <w:p>
            <w:pPr>
              <w:rPr>
                <w:rFonts w:hint="eastAsia"/>
                <w:vertAlign w:val="baseline"/>
                <w:lang w:val="en-US" w:eastAsia="zh-CN"/>
              </w:rPr>
            </w:pPr>
            <w:r>
              <w:rPr>
                <w:rFonts w:hint="eastAsia"/>
                <w:vertAlign w:val="baseline"/>
                <w:lang w:val="en-US" w:eastAsia="zh-CN"/>
              </w:rPr>
              <w:t>系统不配备油分离器及排气单向阀；</w:t>
            </w:r>
          </w:p>
          <w:p>
            <w:pPr>
              <w:rPr>
                <w:rFonts w:hint="eastAsia"/>
                <w:vertAlign w:val="baseline"/>
                <w:lang w:val="en-US" w:eastAsia="zh-CN"/>
              </w:rPr>
            </w:pPr>
            <w:r>
              <w:rPr>
                <w:rFonts w:hint="eastAsia"/>
                <w:vertAlign w:val="baseline"/>
                <w:lang w:val="en-US" w:eastAsia="zh-CN"/>
              </w:rPr>
              <w:t>蒸汽闪发器前后两次节流；</w:t>
            </w:r>
          </w:p>
          <w:p>
            <w:pPr>
              <w:rPr>
                <w:rFonts w:hint="eastAsia"/>
                <w:vertAlign w:val="baseline"/>
                <w:lang w:val="en-US" w:eastAsia="zh-CN"/>
              </w:rPr>
            </w:pPr>
            <w:r>
              <w:rPr>
                <w:rFonts w:hint="eastAsia"/>
                <w:vertAlign w:val="baseline"/>
                <w:lang w:val="en-US" w:eastAsia="zh-CN"/>
              </w:rPr>
              <w:t>蒸汽闪发器补气增焓；</w:t>
            </w:r>
          </w:p>
          <w:p>
            <w:pPr>
              <w:rPr>
                <w:rFonts w:hint="eastAsia"/>
                <w:vertAlign w:val="baseline"/>
                <w:lang w:val="en-US" w:eastAsia="zh-CN"/>
              </w:rPr>
            </w:pPr>
            <w:r>
              <w:rPr>
                <w:rFonts w:hint="eastAsia"/>
                <w:vertAlign w:val="baseline"/>
                <w:lang w:val="en-US" w:eastAsia="zh-CN"/>
              </w:rPr>
              <w:t>低噪音直流变频轴流风机控制；</w:t>
            </w:r>
          </w:p>
          <w:p>
            <w:pPr>
              <w:rPr>
                <w:rFonts w:hint="eastAsia"/>
                <w:vertAlign w:val="baseline"/>
                <w:lang w:val="en-US" w:eastAsia="zh-CN"/>
              </w:rPr>
            </w:pPr>
            <w:r>
              <w:rPr>
                <w:rFonts w:hint="eastAsia"/>
                <w:vertAlign w:val="baseline"/>
                <w:lang w:val="en-US" w:eastAsia="zh-CN"/>
              </w:rPr>
              <w:t>达到技术指标：</w:t>
            </w:r>
          </w:p>
          <w:p>
            <w:pPr>
              <w:rPr>
                <w:rFonts w:hint="eastAsia"/>
                <w:vertAlign w:val="baseline"/>
                <w:lang w:val="en-US" w:eastAsia="zh-CN"/>
              </w:rPr>
            </w:pPr>
            <w:r>
              <w:rPr>
                <w:rFonts w:hint="eastAsia"/>
                <w:vertAlign w:val="baseline"/>
                <w:lang w:val="en-US" w:eastAsia="zh-CN"/>
              </w:rPr>
              <w:t>设备长期稳定运行，不会出现缺油、偏油、烧毁电机；</w:t>
            </w:r>
          </w:p>
          <w:p>
            <w:pPr>
              <w:rPr>
                <w:rFonts w:hint="eastAsia"/>
                <w:vertAlign w:val="baseline"/>
                <w:lang w:val="en-US" w:eastAsia="zh-CN"/>
              </w:rPr>
            </w:pPr>
            <w:r>
              <w:rPr>
                <w:rFonts w:hint="eastAsia"/>
                <w:vertAlign w:val="baseline"/>
                <w:lang w:val="en-US" w:eastAsia="zh-CN"/>
              </w:rPr>
              <w:t>名义制冷量的测试工况为：水流量0.172m3/(h·kW)，出水温度7℃，室外环境温度35℃；名义制热量的测试工况为：水流量0.172m3/(h·kW)，出水温度45℃，室外环境干/湿球温度7/6℃；  机组制冷量达65KW以上、制热量达71KW以上、COP达3.48以上、IPLV达4.69以上；</w:t>
            </w:r>
          </w:p>
          <w:p>
            <w:pPr>
              <w:rPr>
                <w:rFonts w:hint="eastAsia"/>
                <w:vertAlign w:val="baseline"/>
                <w:lang w:val="en-US" w:eastAsia="zh-CN"/>
              </w:rPr>
            </w:pPr>
            <w:r>
              <w:rPr>
                <w:rFonts w:hint="eastAsia"/>
                <w:vertAlign w:val="baseline"/>
                <w:lang w:val="en-US" w:eastAsia="zh-CN"/>
              </w:rPr>
              <w:t>遵循GB/T18430.1  能效标准：GB/T 19577-2015</w:t>
            </w:r>
          </w:p>
          <w:p>
            <w:pPr>
              <w:rPr>
                <w:rFonts w:hint="eastAsia"/>
                <w:vertAlign w:val="baseline"/>
                <w:lang w:val="en-US" w:eastAsia="zh-CN"/>
              </w:rPr>
            </w:pPr>
            <w:r>
              <w:rPr>
                <w:rFonts w:hint="eastAsia"/>
                <w:vertAlign w:val="baseline"/>
                <w:lang w:val="en-US" w:eastAsia="zh-CN"/>
              </w:rPr>
              <w:t>直流变频风机能正常工作，不出现反转现象。</w:t>
            </w:r>
          </w:p>
          <w:p>
            <w:pPr>
              <w:rPr>
                <w:rFonts w:hint="eastAsia"/>
                <w:vertAlign w:val="baseline"/>
                <w:lang w:val="en-US" w:eastAsia="zh-CN"/>
              </w:rPr>
            </w:pPr>
          </w:p>
        </w:tc>
        <w:tc>
          <w:tcPr>
            <w:tcW w:w="2291" w:type="dxa"/>
            <w:vAlign w:val="top"/>
          </w:tcPr>
          <w:p>
            <w:pPr>
              <w:rPr>
                <w:rFonts w:hint="eastAsia"/>
                <w:vertAlign w:val="baseline"/>
                <w:lang w:val="en-US" w:eastAsia="zh-CN"/>
              </w:rPr>
            </w:pPr>
            <w:r>
              <w:rPr>
                <w:rFonts w:hint="eastAsia"/>
                <w:vertAlign w:val="baseline"/>
                <w:lang w:val="en-US" w:eastAsia="zh-CN"/>
              </w:rPr>
              <w:t>机器制造</w:t>
            </w:r>
          </w:p>
        </w:tc>
        <w:tc>
          <w:tcPr>
            <w:tcW w:w="1186" w:type="dxa"/>
            <w:vAlign w:val="center"/>
          </w:tcPr>
          <w:p>
            <w:pPr>
              <w:rPr>
                <w:rFonts w:hint="eastAsia"/>
                <w:vertAlign w:val="baseline"/>
                <w:lang w:val="en-US" w:eastAsia="zh-CN"/>
              </w:rPr>
            </w:pPr>
            <w:r>
              <w:rPr>
                <w:rFonts w:hint="eastAsia"/>
                <w:vertAlign w:val="baseline"/>
                <w:lang w:val="en-US" w:eastAsia="zh-CN"/>
              </w:rPr>
              <w:t>20.00</w:t>
            </w:r>
          </w:p>
        </w:tc>
        <w:tc>
          <w:tcPr>
            <w:tcW w:w="682" w:type="dxa"/>
            <w:vAlign w:val="top"/>
          </w:tcPr>
          <w:p>
            <w:pPr>
              <w:rPr>
                <w:rFonts w:hint="eastAsia"/>
                <w:vertAlign w:val="baseline"/>
                <w:lang w:val="en-US" w:eastAsia="zh-CN"/>
              </w:rPr>
            </w:pPr>
            <w:r>
              <w:rPr>
                <w:rFonts w:hint="eastAsia"/>
                <w:vertAlign w:val="baseline"/>
                <w:lang w:val="en-US" w:eastAsia="zh-CN"/>
              </w:rPr>
              <w:t>联合开发</w:t>
            </w:r>
          </w:p>
        </w:tc>
        <w:tc>
          <w:tcPr>
            <w:tcW w:w="1037" w:type="dxa"/>
            <w:vAlign w:val="center"/>
          </w:tcPr>
          <w:p>
            <w:pPr>
              <w:rPr>
                <w:rFonts w:hint="eastAsia"/>
                <w:vertAlign w:val="baseline"/>
                <w:lang w:val="en-US" w:eastAsia="zh-CN"/>
              </w:rPr>
            </w:pPr>
            <w:r>
              <w:rPr>
                <w:rFonts w:hint="eastAsia"/>
                <w:vertAlign w:val="baseline"/>
                <w:lang w:val="en-US" w:eastAsia="zh-CN"/>
              </w:rPr>
              <w:t>无</w:t>
            </w:r>
          </w:p>
        </w:tc>
        <w:tc>
          <w:tcPr>
            <w:tcW w:w="668" w:type="dxa"/>
            <w:vAlign w:val="center"/>
          </w:tcPr>
          <w:p>
            <w:pPr>
              <w:rPr>
                <w:rFonts w:hint="eastAsia"/>
                <w:vertAlign w:val="baseline"/>
                <w:lang w:val="en-US" w:eastAsia="zh-CN"/>
              </w:rPr>
            </w:pPr>
            <w:r>
              <w:rPr>
                <w:rFonts w:hint="eastAsia"/>
                <w:vertAlign w:val="baseline"/>
                <w:lang w:val="en-US" w:eastAsia="zh-CN"/>
              </w:rPr>
              <w:t>孙鹏飞</w:t>
            </w:r>
          </w:p>
        </w:tc>
        <w:tc>
          <w:tcPr>
            <w:tcW w:w="746" w:type="dxa"/>
            <w:vAlign w:val="center"/>
          </w:tcPr>
          <w:p>
            <w:pPr>
              <w:rPr>
                <w:rFonts w:hint="eastAsia"/>
                <w:vertAlign w:val="baseline"/>
                <w:lang w:val="en-US" w:eastAsia="zh-CN"/>
              </w:rPr>
            </w:pPr>
            <w:r>
              <w:rPr>
                <w:rFonts w:hint="eastAsia"/>
                <w:vertAlign w:val="baseline"/>
                <w:lang w:val="en-US" w:eastAsia="zh-CN"/>
              </w:rPr>
              <w:t>17502984481</w:t>
            </w:r>
          </w:p>
        </w:tc>
      </w:tr>
    </w:tbl>
    <w:p>
      <w:pPr>
        <w:rPr>
          <w:rFonts w:hint="eastAsia"/>
          <w:vertAlign w:val="baseline"/>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swiss"/>
    <w:pitch w:val="default"/>
    <w:sig w:usb0="E0002AFF" w:usb1="C0007843" w:usb2="00000009" w:usb3="00000000" w:csb0="400001FF" w:csb1="FFFF0000"/>
  </w:font>
  <w:font w:name="Hiragino Sans GB">
    <w:altName w:val="Segoe Print"/>
    <w:panose1 w:val="00000000000000000000"/>
    <w:charset w:val="00"/>
    <w:family w:val="auto"/>
    <w:pitch w:val="default"/>
    <w:sig w:usb0="00000000" w:usb1="00000000" w:usb2="00000000" w:usb3="00000000" w:csb0="00000000" w:csb1="00000000"/>
  </w:font>
  <w:font w:name="GENISO">
    <w:altName w:val="Swis721 Lt BT"/>
    <w:panose1 w:val="02000400000000000000"/>
    <w:charset w:val="00"/>
    <w:family w:val="auto"/>
    <w:pitch w:val="default"/>
    <w:sig w:usb0="00000000" w:usb1="00000000" w:usb2="00000040" w:usb3="00000000" w:csb0="000001F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roman"/>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Arial Black">
    <w:panose1 w:val="020B0A04020102020204"/>
    <w:charset w:val="00"/>
    <w:family w:val="auto"/>
    <w:pitch w:val="default"/>
    <w:sig w:usb0="00000287" w:usb1="00000000" w:usb2="00000000" w:usb3="00000000" w:csb0="2000009F" w:csb1="DFD7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ranklin Gothic Book">
    <w:altName w:val="宋体"/>
    <w:panose1 w:val="020B0503020102020204"/>
    <w:charset w:val="86"/>
    <w:family w:val="swiss"/>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Angsana New">
    <w:panose1 w:val="02020603050405020304"/>
    <w:charset w:val="DE"/>
    <w:family w:val="roman"/>
    <w:pitch w:val="default"/>
    <w:sig w:usb0="81000003" w:usb1="00000000" w:usb2="00000000" w:usb3="00000000" w:csb0="00010001" w:csb1="00000000"/>
  </w:font>
  <w:font w:name="隶书">
    <w:altName w:val="微软雅黑"/>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swiss"/>
    <w:pitch w:val="default"/>
    <w:sig w:usb0="E00002FF" w:usb1="6AC7FDFB" w:usb2="00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公文小标宋简">
    <w:altName w:val="宋体"/>
    <w:panose1 w:val="02010609010101010101"/>
    <w:charset w:val="00"/>
    <w:family w:val="auto"/>
    <w:pitch w:val="default"/>
    <w:sig w:usb0="00000000" w:usb1="00000000" w:usb2="00000000" w:usb3="00000000" w:csb0="00000000" w:csb1="00000000"/>
  </w:font>
  <w:font w:name="公文小标宋简">
    <w:altName w:val="宋体"/>
    <w:panose1 w:val="02010609010101010101"/>
    <w:charset w:val="86"/>
    <w:family w:val="modern"/>
    <w:pitch w:val="default"/>
    <w:sig w:usb0="00000000" w:usb1="00000000" w:usb2="00000000" w:usb3="00000000" w:csb0="00000000" w:csb1="00000000"/>
  </w:font>
  <w:font w:name="方正仿宋_GBK">
    <w:altName w:val="宋体"/>
    <w:panose1 w:val="00000000000000000000"/>
    <w:charset w:val="01"/>
    <w:family w:val="script"/>
    <w:pitch w:val="default"/>
    <w:sig w:usb0="00000000" w:usb1="00000000" w:usb2="00000010" w:usb3="00000000" w:csb0="003C0041" w:csb1="00000000"/>
  </w:font>
  <w:font w:name="方正硬笔楷书简体">
    <w:altName w:val="宋体"/>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HP Simplified Light">
    <w:altName w:val="NewsGoth Lt BT"/>
    <w:panose1 w:val="020B0406020204020204"/>
    <w:charset w:val="00"/>
    <w:family w:val="auto"/>
    <w:pitch w:val="default"/>
    <w:sig w:usb0="00000000" w:usb1="00000000" w:usb2="00000000" w:usb3="00000000" w:csb0="20000093" w:csb1="00000000"/>
  </w:font>
  <w:font w:name="RomanS">
    <w:altName w:val="Swis721 Lt BT"/>
    <w:panose1 w:val="02000400000000000000"/>
    <w:charset w:val="00"/>
    <w:family w:val="auto"/>
    <w:pitch w:val="default"/>
    <w:sig w:usb0="00000000" w:usb1="00000000" w:usb2="00000000" w:usb3="00000000" w:csb0="000001FF" w:csb1="00000000"/>
  </w:font>
  <w:font w:name="cicons">
    <w:altName w:val="Segoe Print"/>
    <w:panose1 w:val="00000000000000000000"/>
    <w:charset w:val="00"/>
    <w:family w:val="auto"/>
    <w:pitch w:val="default"/>
    <w:sig w:usb0="00000000" w:usb1="00000000" w:usb2="00000000" w:usb3="00000000" w:csb0="00000000" w:csb1="00000000"/>
  </w:font>
  <w:font w:name="Adobe 宋体 Std L">
    <w:altName w:val="宋体"/>
    <w:panose1 w:val="00000000000000000000"/>
    <w:charset w:val="86"/>
    <w:family w:val="modern"/>
    <w:pitch w:val="default"/>
    <w:sig w:usb0="00000000" w:usb1="00000000" w:usb2="00000016" w:usb3="00000000" w:csb0="00060007" w:csb1="00000000"/>
  </w:font>
  <w:font w:name="PingFangSC-Light">
    <w:altName w:val="Segoe Print"/>
    <w:panose1 w:val="00000000000000000000"/>
    <w:charset w:val="00"/>
    <w:family w:val="auto"/>
    <w:pitch w:val="default"/>
    <w:sig w:usb0="00000000" w:usb1="00000000" w:usb2="00000000" w:usb3="00000000" w:csb0="00000000" w:csb1="00000000"/>
  </w:font>
  <w:font w:name="AMGDT">
    <w:altName w:val="Segoe Print"/>
    <w:panose1 w:val="00000400000000000000"/>
    <w:charset w:val="00"/>
    <w:family w:val="auto"/>
    <w:pitch w:val="default"/>
    <w:sig w:usb0="00000000" w:usb1="00000000" w:usb2="00000000" w:usb3="00000000" w:csb0="0000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wis721 Lt BT">
    <w:panose1 w:val="020B0403020202020204"/>
    <w:charset w:val="00"/>
    <w:family w:val="auto"/>
    <w:pitch w:val="default"/>
    <w:sig w:usb0="800000AF" w:usb1="1000204A" w:usb2="00000000" w:usb3="00000000" w:csb0="00000011" w:csb1="00000000"/>
  </w:font>
  <w:font w:name="NewsGoth Lt BT">
    <w:panose1 w:val="020B0406020203020204"/>
    <w:charset w:val="00"/>
    <w:family w:val="auto"/>
    <w:pitch w:val="default"/>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5140A"/>
    <w:rsid w:val="13224D8B"/>
    <w:rsid w:val="252A6033"/>
    <w:rsid w:val="49350156"/>
    <w:rsid w:val="521A5DE3"/>
    <w:rsid w:val="5D2E003E"/>
    <w:rsid w:val="60DF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王得权</cp:lastModifiedBy>
  <cp:lastPrinted>2019-06-11T06:31:00Z</cp:lastPrinted>
  <dcterms:modified xsi:type="dcterms:W3CDTF">2019-06-11T06:50:50Z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