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2A" w:rsidRDefault="00311949">
      <w:pPr>
        <w:rPr>
          <w:rFonts w:ascii="仿宋" w:eastAsia="仿宋" w:hAnsi="仿宋" w:cs="仿宋_GB2312"/>
          <w:sz w:val="32"/>
          <w:szCs w:val="32"/>
        </w:rPr>
      </w:pPr>
      <w:r>
        <w:rPr>
          <w:rFonts w:ascii="仿宋" w:eastAsia="仿宋" w:hAnsi="仿宋" w:cs="仿宋_GB2312" w:hint="eastAsia"/>
          <w:sz w:val="32"/>
          <w:szCs w:val="32"/>
        </w:rPr>
        <w:t>附件:</w:t>
      </w:r>
    </w:p>
    <w:p w:rsidR="003A542A" w:rsidRDefault="00311949">
      <w:pPr>
        <w:jc w:val="center"/>
        <w:rPr>
          <w:rFonts w:ascii="宋体" w:hAnsi="宋体"/>
          <w:b/>
          <w:bCs/>
          <w:sz w:val="44"/>
        </w:rPr>
      </w:pPr>
      <w:r>
        <w:rPr>
          <w:rFonts w:ascii="宋体" w:hAnsi="宋体" w:hint="eastAsia"/>
          <w:b/>
          <w:bCs/>
          <w:sz w:val="44"/>
        </w:rPr>
        <w:t>2021年绍兴市“揭榜挂帅”制科技项目榜单</w:t>
      </w:r>
    </w:p>
    <w:tbl>
      <w:tblPr>
        <w:tblW w:w="12514" w:type="dxa"/>
        <w:jc w:val="center"/>
        <w:tblInd w:w="-921" w:type="dxa"/>
        <w:tblLayout w:type="fixed"/>
        <w:tblCellMar>
          <w:left w:w="0" w:type="dxa"/>
          <w:right w:w="0" w:type="dxa"/>
        </w:tblCellMar>
        <w:tblLook w:val="04A0"/>
      </w:tblPr>
      <w:tblGrid>
        <w:gridCol w:w="815"/>
        <w:gridCol w:w="2121"/>
        <w:gridCol w:w="1250"/>
        <w:gridCol w:w="6324"/>
        <w:gridCol w:w="972"/>
        <w:gridCol w:w="1032"/>
      </w:tblGrid>
      <w:tr w:rsidR="00984201" w:rsidTr="00E05FA2">
        <w:trPr>
          <w:trHeight w:val="1152"/>
          <w:jc w:val="center"/>
        </w:trPr>
        <w:tc>
          <w:tcPr>
            <w:tcW w:w="81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b/>
                <w:color w:val="000000"/>
                <w:sz w:val="22"/>
              </w:rPr>
            </w:pPr>
            <w:r>
              <w:rPr>
                <w:rFonts w:ascii="宋体" w:hAnsi="宋体" w:cs="宋体" w:hint="eastAsia"/>
                <w:b/>
                <w:color w:val="000000"/>
                <w:kern w:val="0"/>
                <w:sz w:val="22"/>
              </w:rPr>
              <w:t>序号</w:t>
            </w:r>
          </w:p>
        </w:tc>
        <w:tc>
          <w:tcPr>
            <w:tcW w:w="2121" w:type="dxa"/>
            <w:tcBorders>
              <w:top w:val="single" w:sz="4" w:space="0" w:color="auto"/>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b/>
                <w:color w:val="000000"/>
                <w:sz w:val="22"/>
              </w:rPr>
            </w:pPr>
            <w:r>
              <w:rPr>
                <w:rFonts w:ascii="宋体" w:hAnsi="宋体" w:cs="宋体" w:hint="eastAsia"/>
                <w:b/>
                <w:color w:val="000000"/>
                <w:kern w:val="0"/>
                <w:sz w:val="22"/>
              </w:rPr>
              <w:t>项目名称</w:t>
            </w:r>
          </w:p>
        </w:tc>
        <w:tc>
          <w:tcPr>
            <w:tcW w:w="1250" w:type="dxa"/>
            <w:tcBorders>
              <w:top w:val="single" w:sz="4" w:space="0" w:color="auto"/>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b/>
                <w:color w:val="000000"/>
                <w:sz w:val="22"/>
              </w:rPr>
            </w:pPr>
            <w:r>
              <w:rPr>
                <w:rFonts w:ascii="宋体" w:hAnsi="宋体" w:cs="宋体" w:hint="eastAsia"/>
                <w:b/>
                <w:color w:val="000000"/>
                <w:kern w:val="0"/>
                <w:sz w:val="22"/>
              </w:rPr>
              <w:t>需求单位</w:t>
            </w:r>
          </w:p>
        </w:tc>
        <w:tc>
          <w:tcPr>
            <w:tcW w:w="6324" w:type="dxa"/>
            <w:tcBorders>
              <w:top w:val="single" w:sz="4" w:space="0" w:color="auto"/>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b/>
                <w:color w:val="000000"/>
                <w:sz w:val="22"/>
              </w:rPr>
            </w:pPr>
            <w:r>
              <w:rPr>
                <w:rFonts w:ascii="宋体" w:hAnsi="宋体" w:cs="宋体" w:hint="eastAsia"/>
                <w:b/>
                <w:color w:val="000000"/>
                <w:kern w:val="0"/>
                <w:sz w:val="22"/>
              </w:rPr>
              <w:t>技术需求或核心技术参数</w:t>
            </w:r>
          </w:p>
        </w:tc>
        <w:tc>
          <w:tcPr>
            <w:tcW w:w="972" w:type="dxa"/>
            <w:tcBorders>
              <w:top w:val="single" w:sz="4" w:space="0" w:color="auto"/>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b/>
                <w:color w:val="000000"/>
                <w:sz w:val="22"/>
              </w:rPr>
            </w:pPr>
            <w:r>
              <w:rPr>
                <w:rFonts w:ascii="宋体" w:hAnsi="宋体" w:cs="宋体" w:hint="eastAsia"/>
                <w:b/>
                <w:color w:val="000000"/>
                <w:kern w:val="0"/>
                <w:sz w:val="22"/>
              </w:rPr>
              <w:t>揭榜额（万元）</w:t>
            </w:r>
          </w:p>
        </w:tc>
        <w:tc>
          <w:tcPr>
            <w:tcW w:w="1032" w:type="dxa"/>
            <w:tcBorders>
              <w:top w:val="single" w:sz="4" w:space="0" w:color="auto"/>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b/>
                <w:color w:val="000000"/>
                <w:sz w:val="22"/>
              </w:rPr>
            </w:pPr>
            <w:r>
              <w:rPr>
                <w:rFonts w:ascii="宋体" w:hAnsi="宋体" w:cs="宋体" w:hint="eastAsia"/>
                <w:b/>
                <w:color w:val="000000"/>
                <w:kern w:val="0"/>
                <w:sz w:val="22"/>
              </w:rPr>
              <w:t>属地</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适宜于绍兴黄酒酿造糯稻品种筛选鉴定</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绍兴市农业科学研究院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（1）开展适宜于绍兴黄酒酿造糯稻品质筛选测定；（2）相关糯稻品种（系）田间产量、抗性和米质鉴定；（3）进行黄酒酿造试验及进行相关评价分析。</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水稻秸秆饲料化利用研究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绍兴市农业科学研究院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以绍兴市秸秆牧草化利用为研究对象，研究水稻秸秆“田间收获-加工制备-贮运-牛羊食料”全过程管控技术。针对我国秸秆饲料化过程捡拾、成型、打捆、发酵剂喷施、塑封等一体化设备和发酵微生物菌剂稀缺、运输成本高、存放占地面积大等问题，结合国内外现有秸秆饲料化利用技术，优选出一批适宜我国水稻秸秆“田间收获-加工制备-贮运-牛羊食料”全过程管控技术，为秸秆资源化利用政府补贴以及管理提供科学依据。</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电梯按需维保智慧管理系统关键技术研究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绍兴市特种设备检测院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（1）研究电梯各类风险点分级赋值，确定按需维保频次算法规则，结合电梯的运行工况、使用环境等动态因素，确定最优的人工智能算法并建立数学模型。 （2）开发一套按需维保智慧管理软件，能与试点单位远程监测平台实现实时动态数据对接；系统软件输入电梯实时运行的动态数据后，系统自动识别是否发出维保预警。达到维保条件的，系统自动生成维保计划，确定维保周期和内容。</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快速核酸检测仪校准装置研发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绍兴市质量技术监督检测院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拟选择卡尤迪闪测Flash20作为主要研究对象，针对其特殊的热循环参数进行校准方法研究，并研制一套适合快速核酸检测仪的温度校准专用装置。</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污染地块地下水风险预警系统及公益示范</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绍兴文理学院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以本地典型公益性污染场地修复完成后地下水污染防控为研究基础，构建地下水污染防控在线监测与风险预警系统。</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1440"/>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适用于低温高碱烟气的新型稀土(CeO2)纳米晶脱硝催化剂的中试生产及示范应用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绍兴文理学院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（1）适用于新型稀土(CeO2)纳米晶脱硝催化剂的成型生产技术(挤出或涂覆)及装备；（2）具有水泥、生物质发电和有色金属冶炼等工业窑炉烟气治理工程的设计、装备加工和安装调试能力；</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1728"/>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表面瑕疵自动化检测设备开发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浙江工业职业技术学院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表面瑕疵自动化检测设备装备1套</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绍兴城市河网蓝藻水华时空分布特征、演替规律及其成因分析</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浙江省绍兴生态环境监测中心</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（1）按月度完成绍兴主城区河网重点断面的水质理化指标监测，主要包括水温、流速、pH、溶解氧、总氮、氨氮、硝态氮、总磷、正磷酸等； （2）按月度完成绍兴主城区河网重点断面的藻类群落结构监测，重点关注水华蓝藻群落演替； （3）结合年度监测结果，完成统计建模分析，确定绍兴城市河网蓝藻水华形成的关键驱动因素； （4）结合水质在线监测数据，分析关键监测指标趋势变化为依据，确定预警蓝藻水华暴发的阈值； （5）根据研究结论，针对蓝藻水华问题提出系列水生态保护和修护技术要点，并提出相关意见和建议。</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市直</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基于全流程智能制造的聚醚醚酮高性能纤维的研制及产业化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凯泰特种纤维科技有限公司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使PEEK特种长丝实现产业化生产，并达到全流程智能控制。</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10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耐700℃高温的气凝胶绝热材料技术开发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纳诺科技有限公司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开发一种耐高温达到700℃的气凝胶绝热毡产品，兼具阻燃防火功能，工艺路线应合理、能形成批量生产，与现有超临界(或常压）工艺相适应，不使用和产生有毒有害物质，生产过程不对安全产生重大影响，原材料成本≤4000元/m3。</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水性立体铂金防伪高分子包装材料开发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绍兴虎彩激光材料科技有限公司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水性高分子全息涂层的开发；立体铂金防伪图文设计；图文纳米化结构刻录；高精定位模压技术</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零VOC超临界CO2涂装系统及产业化示范</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绍兴华创聚氨酯有限公司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研发超临界CO2涂装设备，开发零VOC涂料树脂</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基于多元融合的精神疾病只能筛查系统研发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绍兴华卫众邦信息科技有限公司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研发基于多元融合的精神疾病智能筛查系统及设备，该设备包含智能问答模块、非接触式体征监测模块、微表情及异常行为监测模块、大规模数据融合及智能分析模块。</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分散染料常压可染回收PET瓶片再生长丝的纺制关键技术研发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绍兴九洲化纤有限公司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通过设备的技术改造与聚合、纺丝工艺的探索，采用解聚、调质增粘、熔体直纺FDY工艺路线，开发生产出分散染料常压可染回收PET瓶片再生长丝系列产品。</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自然能提水技术智能化装备研发及应用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绍兴淼汇能源科技有限公司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装备智能分析、自动控制及执行系统技术：现有的自然能提水技术装备必须有稳定的水流等运行条件，而实际上高山地区常因没有大的库容量，加上山区溪流易受季节影响，部分河流旱季水量不足，影响自然能提水装备的使用。</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180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龙脑香樟树新品种选育、鉴定</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绍兴香都农林科技有限公司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建立龙脑樟纯种繁育示范基地； 对树种进行鉴定和知识产权保护（包括专利）； 形成一整套龙脑樟快速繁育、田间管理及采摘等技术体系；</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智能化药品自动分拣调剂车及辅助系统研发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绍兴易邦医用品有限公司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大型综合性医院的门诊药房作为医院药学服务的关键性窗口，随着医院对药学服务的专业化及精细化要求越来越高，亟需快速完成自动化、现代化、信息化改革，以便确保药师队伍有足够时间和精力</w:t>
            </w:r>
            <w:r>
              <w:rPr>
                <w:rFonts w:ascii="宋体" w:hAnsi="宋体" w:cs="宋体" w:hint="eastAsia"/>
                <w:color w:val="000000"/>
                <w:kern w:val="0"/>
                <w:sz w:val="22"/>
              </w:rPr>
              <w:lastRenderedPageBreak/>
              <w:t>用于自身专业素养的提升，为病患提供专业的药事服务。</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18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5G及数据中心高速率高集成400G光芯片及光模块</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绍兴中科通信通信设备有限公司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（1）多波长高功率激光器与硅基波导耦合研究 （2）硅基光发射阵列芯片研究 （3）高速高灵敏度接收阵列集成芯片研究 （4）高速硅基光收发模块研究</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源自龙脑樟的天然冰片的超临界二氧化碳流体提纯关键技术研发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浙江邦宁尔制药有限公司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龙脑樟的天然冰片的超临界二氧化碳流体提纯关键技术。</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奈诺沙星关键中间体MAP创新工艺</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浙江昌海制药有限公司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奈诺沙星主要原辅料成本在于关键中间体MAP，原有工艺的原辅料成本较高、工艺条件苛刻，部分试剂环境不友好，亟需开发MAP合成新工艺。</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适温储能高品质功能纺织品生产关键技术研发及产业化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浙江港龙织造科技有限公司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研究开发长效耐久适温储能调温功能针织品，研究相变储能纱的多异纤维复合加工、织造和染整技术。</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环保产业AIOT数字大脑建设</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浙江工业大学绍兴研究院</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针对水、大气和土壤等环境介质的实时监测及后续各项污染指标的分析、预判及评估，提出基于物联网大数据和人工智能相结合的新的技术手段和方法，即“AIOT数字大脑”+“专家诊断服务”的新技术模式。</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活化型涤纶工业丝开发及提质增效关键技术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浙江古纤道绿色纤维有限公司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解决活化性涤纶工业丝与橡胶粘合力偏低的问题。</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无创脑电传感器技术研究及产业化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浙江海圣医疗器械股份有限公司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通过系统研究无创脑电传感器技术，开发符合人体脑部弧度及重力学原理，具有良好的顺应性且无创伤的脑电传感器及相应麻醉深度监护仪，替代进口。</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25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高性能ES/PE/PET非织造复合材料的关键工艺技术开发及产业化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浙江汉升环保科技有限公司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采用ES/PE/PET非织造复合技术进行材料的生产，解决现有材料既能防渗水又透气的问题。目前主要难题涉及到ES材料热粘封口强度，PE膜透气与防渗漏性，覆膜热粘胶的粘合度，以及热粘温度可使用宽度，替代国外进口垄断。</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结构型阻燃剂三聚氰胺类聚醚多元醇的研发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浙江恒丰新材料有限公司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此类聚合物，在酸或碱性条件下可发生脱水反应生成分子之间的交联，导致体系粘度变大甚至固化，这是合成工艺放大过程中最大的技术难点。因此，必须合理优化工艺路线。</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135</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一种低粘度可显影用于精准治疗恶性肿瘤的液体血管栓塞剂的研究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浙江欧贝特生物材料有限公司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确定产品为液体栓塞剂，接触血液后可析出固体，达到控制出血的目的。并且在X光仪下可显影，产品粘度应在8-18Pa.s，生物相容性符合植入医疗器械相关要求。</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125</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高通量离心式微流控全自动凝血检测系统研究及产业化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浙江普施康生物科技有限公司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微腔体阵列芯片应具备良好的过滤通透性（整体透光率高于92%）、良好的加工特性、 能与微流道芯片进行键合。</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新西兰双头系列高频头关键技术研发项目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浙江盛洋科技股份有限公司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开发同时接收2颗卫星的信号的高频头，满足稳定性高，机构设计精度高等要求，卫星接收性能同行业水平属于全球领先水平。</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175</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农用地高效修复材料的开发与产业化研究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浙江益壤环保科技有限公司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开发出一系列高附加值型修复材料，在解决农产品安全性的同时提高农产品质量，形成区域内高值生态农业生产模式</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医用导管超滑保湿亲水涂层关键技术研究及产业化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浙江优特格尔医疗用品有限公司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为实现亲水涂层材料进口替代，开发高端医用导管超滑保湿亲水涂层关键技术</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组氨酸高产菌种构建及发酵纯化工艺建立</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浙江震元制药有限公司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构建高效的组氨酸生产菌，协调不同代谢相关基因的表达水平，严格控制中间代谢产物的含量，保证最优的模块组合并建立精准动态的代谢调控网络。</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33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医用平面口罩全流程智能化高速生产系统开发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振德医疗用品股份有限公司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开发一套集平面制片、焊合成型、点焊、在线检测、包装等工序于一体的，具备生产在线实时监控、数据采集分析、设备全生命周期管控的医用平面口罩全流程智能化高速生产系统。</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249</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越城区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中药材、中药饮片农残研究项目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回音必集团浙江齐齐制药有限公司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为应对中药中施用农药现状的不断变化，我国的中药材中检测农药残留的指标需有一个不断扩充和更新的过程，进行中药材、中药饮片农残研究。</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270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高速耐磨特种铜合金轴承材料研制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浙江灿根智能科技股份有限公司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用作齿轮、轴瓦、轴套等耐磨部件的铜合金具有良好的强韧匹配性和减摩抗磨性能，目前常用铜合金均存在强度和塑韧性不平衡、力学性能与摩擦性能无法兼得的问题。根据高端装备的长寿命和运行可靠性发展需求，需要发展高性能耐磨铜合金及其制备工艺，以实现铜合金高强韧度和摩擦适应性一体化。</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增韧哑光膜的开发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浙江大东南股份有限公司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攻克增韧哑光膜生产过程中的配方、工艺、表面处理和性能测试等技术难题。</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201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小尺寸三通道高灰LED恒流驱动专用集成电路芯片研发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浙江德广信电子科技股份有限公司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以玻璃作为基板的LED显示屏技术与MICRO LED、MINI LED技术并列下一代LED显示技术发展方向。玻璃显示可取代传统的透明显示屏，广泛应用于建筑幕墙显示、驾驶系统玻璃界面显示、舞台舞美显示、智能家居显示等各个行业。</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259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38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高频响电比例阀开发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浙江华益精密机械有限公司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高频响比例阀，是一种响应频率较普通比例阀更高的电比例控制阀，广泛应用于航空、航天、舰船、冶金等诸多闭环控制的液压系统中。 高频响比例阀的响应频率是介于比例阀和伺服阀之间的一种高性能比例阀。</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1440"/>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基于光子计数的全域能谱智能CT临床性能研究及评价</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浙江明康医疗科技有限公司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研发前期需要专业机构配合开展全域能谱智能CT系统临床性能方案的技术需求提出，研发中后期需要专业机构对研发样机开展系统的临床试验和验证</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180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345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多层均衡高架直升机停机坪系统</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浙江圣翔航空科技有限公司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开展直升机停机坪轻质化、易拆装、防腐蚀方向研究。</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230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41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利用双向发酵技术开发珍珠功效类化妆品的研究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浙江长生鸟健康科技股份有限公司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淡水珍珠具有美白、抗衰老、抗氧化、抗过敏等特点，可作为功能性护肤产品的重要原料之一。然因珍珠粉本身作为化妆品原料具有难溶解性、配伍性差等弊端，且蛋白质作为大分子结构不易被皮肤吸收等原因，需要研发一种低成本、高安全的新型技术用来开发高端化功效性珍珠化妆品。</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诸暨市</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外骨骼机器人机电一体化关节的研发及产业化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浙江来福谐波传动股份有限公司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保证整个外形符合大众审美，外骨骼机器人关节需在重量上尽可能减轻，满足合适的行进运动姿态，必须有合适且可靠的通讯协议支持；外骨骼机器人关节必须满足合适的定位精度；满足合适的使用寿命。</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嵊州市</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绝缘高膨胀系数搪瓷材料</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浙江睿达电器有限公司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（1）亚光釉料膨胀系数改性，以适应31（6）304不锈钢食品级材料的膨胀系数，同时达到隔热、高性能绝热性，以满足市场对高能效低温升的需求；（2）能耐受700度左右的温度差异冲击；（3）绝缘。</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嵊州市</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bookmarkStart w:id="0" w:name="_GoBack" w:colFirst="1" w:colLast="6"/>
            <w:r>
              <w:rPr>
                <w:rFonts w:ascii="宋体" w:hAnsi="宋体" w:cs="宋体" w:hint="eastAsia"/>
                <w:color w:val="000000"/>
                <w:kern w:val="0"/>
                <w:sz w:val="22"/>
              </w:rPr>
              <w:t>44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基于组学技术的绍兴传统黄酒陈酿机理解析和调控技术研究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浙江塔牌绍兴酒有限公司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（1）鉴定关键香气物质不少于10个，关键滋味物质不少于8个； （2）阐明自然陈酿过程中绍兴传统黄酒色泽变化规律；阐明焦糖色素对绍兴传统黄酒风味轮廓、香气释放和稳定性的影响； （3）开发黄酒陈酿调控技术，目标风味物质含量提高20%以上。</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90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高色牢度原液着色超细纤维制备关键技术及产业化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浙江古纤道股份有限公司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 xml:space="preserve">代表产品规格：83~220dtex/24~48f×37i海岛超细纤维；  断裂强度cN/dtex≧：2.0； 断裂伸长率%：M1±5.0 染色均匀度（灰卡）（级）：≧4； 耐干摩擦色牢度（级）：≧4 </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201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46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长效抗菌除臭功能涤纶长丝的开发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浙江天圣化纤有限公司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抗菌除臭母粒有效成份＞5% 母粒添加量＜5 % 抗菌率＞99.5% 24小时除臭率＞75% 纤维强度满足3.2 ccN/dtex</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500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高色牢度涤纶织物绿色生产关键技术研发与应用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浙江红绿蓝纺织印染有限公司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1、与原有染色产品相比，现有产品达到GB 18401-2010 国家纺织产品基本安全技术规范 A类标准。此外，产品耐光和耐气候色牢度达到5级（GB 730-1998）。 2、通过优化染色升温曲线和定型温湿度自适应控制系统，相比原有工艺降低能耗10%以上。</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201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全流程印染大数据智造系统</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浙江乐高实业股份有限公司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 xml:space="preserve">1、工艺及机台生产运行参数自动匹配，摆脱人工干预。 2、智能计划系统辅助进行全流程全部机台排产计算。 3、物流和车辆管理全部数字化。     </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49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染整工艺专家系统</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绍兴英吉利印染有限公司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实现染厂核心设备的数字化改造 提供染色定型的稳定性、一次成功率的提升，并有效降低成本</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345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50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精工JID集成设计软件研发项目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精工工业建筑系统有限公司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1、用钢量省：通过智能化的优化方案或设计理念，达到项目用钢量经济、节约的目标。 2、效率高：通过实现软件的设计、出图、深化的一体化建模，实现设计周期环节的高效。 3、一体化打通：综合考虑营销商务、加工工艺、安装工法等，打通工业建筑的产品供应链环节，实现工业建筑产品的信息化、数据化管理。</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489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5G物联特高压大数据平台</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绍兴电力设备有限公司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 xml:space="preserve">1、生产设备利用5G技术，打造工业物联网，实现信息化改造 2、按照企业需求，定制化开发数据平台 </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52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尾灯三色热流道系统</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浙江恒道科技有限公司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完成三色模具热流道系统制作，并安装到模具中后进行调试，能够满足生产需求。具体指标如下：1、满足三色机台的设备的各项安装技术指标；2、完成试制过程中，最终需求产品的尺寸，外观等技术指标；3、量产阶段的产品寿命大道设计初期的寿命指标。</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75</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基于ERP/MES系统改造的绿色环保数字智能工厂项目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浙江宝纺印染有限公司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1、ERP组网、MES工艺采集、能源采集组网布线系统一套。 2、办公室网络布线系统及无线wifi系统各一套。 3、看板中心屏含系统一套，联想机架式服务器4台、备份mirror服务器2台、主机一台。 4、车间用能用水产污设备109台，按要求进行MES改造并安装能耗统计三级计量表不少于200个。 5、印染生产管理软件6.1，二次开发平台；MES机台改造技术团队及相关服务。 6、车间在线采集终端109套，保证改造成功及数据统计的实时有效性。</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沥青基和黏胶基碳化线以及超高温炉碳化炉的研发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浙江精功科技股份有限公司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1、使用对象：1K/2K沥青基碳纤维； 2、最大丝束数量：24束2K； 3、最大丝束张力：100cN/束； 4、设备有效宽幅800mm； 5、传动方式：双面同步带传动； 6、最大运行速度：6m/min; 罗拉表面处理：橘皮处理； 控制方式：伺服控制； 控制精度：0.0001m/min 炉子有效宽幅：800mm； 最大设计温度：2600℃； 运行温度：2000℃~2400℃； 马弗材质：石墨； 马弗内高度：200mm； 炉子形式：贯穿式炉，两头带气封； 马弗采用拼接式。</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大吨位智能起重机的关键技术研究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浙江硕实机械有限公司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目标：构造一个面向大型物件的车间智能化搬运系统，营造高端装备制造环境。定位精度确保±10mm以内。</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智能化药品自动分拣调剂车及辅助系统研发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绍兴沃然医疗科技有限公司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完成一辆可移动的智能化药品分拣调剂车，并可以在医疗机构药房实地运行</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外场处理高纯无氧铜带制备关键技术及其应用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浙江力博实业股份有限公司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1.氧含量≤5ppm； 2.导电率≥101%IACS； 3.铜含量≥99.97%； 4.厚度公差≤±5%、侧弯≤1mm； 5.研制高纯高导无氧铜制备过程中的外场处理技术，现实高纯高导无氧铜晶粒尺寸和残余应力的精确</w:t>
            </w:r>
            <w:r>
              <w:rPr>
                <w:rFonts w:ascii="宋体" w:hAnsi="宋体" w:cs="宋体" w:hint="eastAsia"/>
                <w:color w:val="000000"/>
                <w:kern w:val="0"/>
                <w:sz w:val="22"/>
              </w:rPr>
              <w:lastRenderedPageBreak/>
              <w:t>控制，制备高纯高导无氧铜带产品。</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lastRenderedPageBreak/>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58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高端长效缓释微球制剂的研发和产业化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浙江美华鼎昌医药科技有限公司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微球长效注射剂：1） 20 克/批次， 相当于商业批次级别，2）长效缓释释放2周以上（in-vitro 模拟释放试验）</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可重复使用手术衣面料制备的关键技术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浙江梅盛实业股份有限公司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 xml:space="preserve">一次性医用防护服面料（技术）。 本项目产品经多次洗涤后，所有性能仍均符合标准：T/ZMDS 30001—2020可重复使用医用防护服要求。 </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基于SAAS的智能仓储物流管控平台系统研发项目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浙江智的智能装备技术有限公司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1、机器人智能取物，方便快捷 2、条码管理(可一维码、二维码、RFID码管理) 3、物料安全，全程硬盘摄象处理，能随时监控工人行为 4、所有流水帐目清楚，系统自动统计，进仓出仓数量 5、具备远程查看功能</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100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建筑固废再生骨料干混抹灰砂浆的制备工艺</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浙江鼎峰科技股份有限公司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要求不仅具有良好的抗裂性、抗渗性以及抗冲磨性，还具有高强、微膨胀、流动性好、无腐蚀性、抗冲击和耐振动等优点。</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kern w:val="0"/>
                <w:sz w:val="22"/>
              </w:rPr>
            </w:pPr>
            <w:r>
              <w:rPr>
                <w:rFonts w:ascii="宋体" w:hAnsi="宋体" w:cs="宋体" w:hint="eastAsia"/>
                <w:color w:val="000000"/>
                <w:kern w:val="0"/>
                <w:sz w:val="22"/>
              </w:rPr>
              <w:t>60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bottom"/>
          </w:tcPr>
          <w:p w:rsidR="00984201" w:rsidRDefault="00984201">
            <w:pPr>
              <w:textAlignment w:val="bottom"/>
              <w:rPr>
                <w:rFonts w:ascii="宋体" w:hAnsi="宋体" w:cs="宋体"/>
                <w:color w:val="000000"/>
                <w:sz w:val="22"/>
              </w:rPr>
            </w:pPr>
            <w:r>
              <w:rPr>
                <w:rFonts w:ascii="宋体" w:hAnsi="宋体" w:cs="宋体" w:hint="eastAsia"/>
                <w:color w:val="000000"/>
                <w:kern w:val="0"/>
                <w:sz w:val="22"/>
              </w:rPr>
              <w:t>柯桥区</w:t>
            </w:r>
          </w:p>
        </w:tc>
      </w:tr>
      <w:bookmarkEnd w:id="0"/>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高纯（甲基）丙烯酸酯类树脂单体合成和提纯技术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绍兴兴欣新材料股份有限公司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Cs w:val="21"/>
              </w:rPr>
            </w:pPr>
            <w:r>
              <w:rPr>
                <w:rFonts w:ascii="宋体" w:hAnsi="宋体" w:cs="宋体" w:hint="eastAsia"/>
                <w:color w:val="000000"/>
                <w:kern w:val="0"/>
                <w:sz w:val="22"/>
              </w:rPr>
              <w:t>环氧脂环甲基丙烯酸酯的纯度≥95%；EPOXY在195~215g/eq之间；各个金属离子（Na，Fe，K，Mn，Mg，Cu，Al，Ni）≤20ppb。</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N,N-二乙基间乙酰氨基苯胺连续化生产技术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浙江迪邦化工有限公司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Cs w:val="21"/>
              </w:rPr>
            </w:pPr>
            <w:r>
              <w:rPr>
                <w:rFonts w:ascii="宋体" w:hAnsi="宋体" w:cs="宋体" w:hint="eastAsia"/>
                <w:color w:val="000000"/>
                <w:kern w:val="0"/>
                <w:sz w:val="22"/>
              </w:rPr>
              <w:t>实现N,N-二乙基间乙酰氨基苯胺连续化生产</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500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高温螺杆热泵关键技术和产业化应用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浙江国祥股份有限公司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Cs w:val="21"/>
              </w:rPr>
            </w:pPr>
            <w:r>
              <w:rPr>
                <w:rFonts w:ascii="宋体" w:hAnsi="宋体" w:cs="宋体" w:hint="eastAsia"/>
                <w:color w:val="000000"/>
                <w:kern w:val="0"/>
                <w:sz w:val="22"/>
              </w:rPr>
              <w:t>制热能效达到3.0。</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65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蒸发冷却螺杆冷水机组关键技术研究</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 w:val="24"/>
                <w:szCs w:val="24"/>
              </w:rPr>
              <w:t>浙江国祥股份有限公司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Cs w:val="21"/>
              </w:rPr>
            </w:pPr>
            <w:r>
              <w:rPr>
                <w:rFonts w:ascii="宋体" w:hAnsi="宋体" w:cs="宋体" w:hint="eastAsia"/>
                <w:color w:val="000000"/>
                <w:kern w:val="0"/>
                <w:sz w:val="22"/>
              </w:rPr>
              <w:t>蒸发冷凝器能满足机械清洗要求，且采用防垢和阻垢技术，氟侧传热系数能达到900w/(m2k)，空气侧传热系数能达到300 w/(m2k),蒸发冷凝器进风湿球温度为24℃时冷凝温度控制在36℃以内时，热流密度能达到4kW/m2。</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纳米银粉的研发及产业化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浙江宏达新材料发展有限公司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Cs w:val="21"/>
              </w:rPr>
            </w:pPr>
            <w:r>
              <w:rPr>
                <w:rFonts w:ascii="宋体" w:hAnsi="宋体" w:cs="宋体" w:hint="eastAsia"/>
                <w:color w:val="000000"/>
                <w:kern w:val="0"/>
                <w:sz w:val="22"/>
              </w:rPr>
              <w:t>开发出10纳米及以下银粉</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800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93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低振动低噪声应急排风机</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浙江金盾风机股份有限公司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4"/>
                <w:szCs w:val="24"/>
              </w:rPr>
            </w:pPr>
            <w:r>
              <w:rPr>
                <w:rFonts w:ascii="宋体" w:hAnsi="宋体" w:cs="宋体" w:hint="eastAsia"/>
                <w:color w:val="000000"/>
                <w:kern w:val="0"/>
                <w:sz w:val="22"/>
              </w:rPr>
              <w:t>风机噪声要求需比常规舰用风机降低15分贝。</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180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1248"/>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超高强型UHMWPE纤维微结构调控与规模化制备技术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浙江金昊新材料有限公司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4"/>
                <w:szCs w:val="24"/>
              </w:rPr>
            </w:pPr>
            <w:r>
              <w:rPr>
                <w:rFonts w:ascii="宋体" w:hAnsi="宋体" w:cs="宋体" w:hint="eastAsia"/>
                <w:color w:val="000000"/>
                <w:kern w:val="0"/>
                <w:sz w:val="22"/>
              </w:rPr>
              <w:t>突破高端UHMWPE纤维产品生产技术难题</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1248"/>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高效杀菌漂白剂PAP（ε-邻苯二甲酰亚胺过氧己酸）合成及应用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浙江金科日化原料有限公司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4"/>
                <w:szCs w:val="24"/>
              </w:rPr>
            </w:pPr>
            <w:r>
              <w:rPr>
                <w:rFonts w:ascii="宋体" w:hAnsi="宋体" w:cs="宋体" w:hint="eastAsia"/>
                <w:color w:val="000000"/>
                <w:kern w:val="0"/>
                <w:sz w:val="22"/>
              </w:rPr>
              <w:t>实现高效杀菌漂白剂PAP（ε-邻苯二甲酰亚胺过氧己酸）合成工业化生产。</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1248"/>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6英寸碳化硅（SiC）单晶生长设备研发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浙江晶盛机电股份有限公司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4"/>
                <w:szCs w:val="24"/>
              </w:rPr>
            </w:pPr>
            <w:r>
              <w:rPr>
                <w:rFonts w:ascii="宋体" w:hAnsi="宋体" w:cs="宋体" w:hint="eastAsia"/>
                <w:color w:val="000000"/>
                <w:kern w:val="0"/>
                <w:sz w:val="22"/>
              </w:rPr>
              <w:t>高稳定、低耗化机械设备与规范化、数字化的设备控制系统</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500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93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分散染料连续高浓度偶合技术及工业化装置开发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浙江龙盛集团股份有限公司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4"/>
                <w:szCs w:val="24"/>
              </w:rPr>
            </w:pPr>
            <w:r>
              <w:rPr>
                <w:rFonts w:ascii="宋体" w:hAnsi="宋体" w:cs="宋体" w:hint="eastAsia"/>
                <w:color w:val="000000"/>
                <w:kern w:val="0"/>
                <w:sz w:val="22"/>
              </w:rPr>
              <w:t>吨滤饼生产装置投资下降300元吨滤饼生产成本下降400元，装置可稳定运行30天以上。</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Cs w:val="21"/>
              </w:rPr>
            </w:pPr>
            <w:r>
              <w:rPr>
                <w:rFonts w:ascii="宋体" w:hAnsi="宋体" w:cs="宋体" w:hint="eastAsia"/>
                <w:color w:val="000000"/>
                <w:kern w:val="0"/>
                <w:szCs w:val="21"/>
              </w:rPr>
              <w:t>120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72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电子化学品级硫酸开发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浙江闰土股份有限公司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金属杂质含量小于10ppb，达到SEMIC7标准。</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500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特种精细化工的硝化连续化技术及应用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 w:val="24"/>
                <w:szCs w:val="24"/>
              </w:rPr>
              <w:t>浙江闰土股份有限公司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生产过程的连续化、自动化、现场无人化</w:t>
            </w:r>
            <w:r>
              <w:rPr>
                <w:rFonts w:ascii="宋体" w:hAnsi="宋体" w:cs="宋体" w:hint="eastAsia"/>
                <w:color w:val="191919"/>
                <w:kern w:val="0"/>
                <w:szCs w:val="21"/>
              </w:rPr>
              <w:t>，</w:t>
            </w:r>
            <w:r>
              <w:rPr>
                <w:rFonts w:ascii="Arial" w:hAnsi="Arial" w:cs="Arial"/>
                <w:color w:val="191919"/>
                <w:kern w:val="0"/>
                <w:szCs w:val="21"/>
              </w:rPr>
              <w:t>实现废水和废气的循环利用，实现远程控制、绿色环保的本质安全生产模式</w:t>
            </w:r>
            <w:r>
              <w:rPr>
                <w:rFonts w:ascii="黑体" w:eastAsia="黑体" w:hAnsi="宋体" w:cs="黑体"/>
                <w:color w:val="000000"/>
                <w:kern w:val="0"/>
                <w:sz w:val="24"/>
                <w:szCs w:val="24"/>
              </w:rPr>
              <w:t>。</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500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鼓风及真空系统磁悬浮透平离心压缩装备</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浙江上风高科专风实业股份有限公司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完成主动磁悬浮轴承研制；完成大功率磁悬浮电机研制；完成撬装一体化磁悬浮鼓风机研制；完成高真空度磁悬浮透平离心真空泵研制</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报废动力电池中锰资源制备四氧化三锰（电池级）关键技术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浙江新时代中能循环科技有限公司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实现报废动力电池锰资源自动控制连续清洁生产高效制备四氧化三锰高值化再生利用技术方案。</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磷酸铁锂动力废旧电池回收资源化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 w:val="24"/>
                <w:szCs w:val="24"/>
              </w:rPr>
              <w:t>浙江新时代中能循环科技有限公司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碳酸锂产品含量不小于99%，杂质指标满足GB/T 11075-2003-1中的一级产品标准。每吨碳酸锂生产成本低于3万。</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300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水性数码印花墨水及印花工艺</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浙江亿得新材料股份有限公司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具有长时间打印不断墨、不飘墨、不堵头、不干头的高性能纺织墨水。</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新型无水印染染料色浆</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 w:val="24"/>
                <w:szCs w:val="24"/>
              </w:rPr>
              <w:t>浙江亿得新材料股份有限公司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得到性能优异的染料色浆产品，丰富染料品种，增加染料色浆的应用优势，提高染料色浆的应用性能，提高水泡和摩擦牢度一级以上。改变印染方式，在印染过程中可以减少或者不用新鲜水，减少废水80%以上。</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79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新型高强度液体染料</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 w:val="24"/>
                <w:szCs w:val="24"/>
              </w:rPr>
              <w:t>浙江亿得新材料股份有限公司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活性和酸性染料纯度大于93%、浓度大于15%、无机盐含量小于600ppm、粘度小于5cps、表明张力大于5（5）过滤性能T1/T3&gt;0.9、储存稳定性大于半年。分散和有机颜料色浆和墨水D50尺寸在200nm以下。</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80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高性能镜头专用光学树脂的合成与产业化</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浙江中欣氟材股份有限公司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可见光透过率≥88%；弯曲强度≥90MPa；成型收缩率≤0.6%；玻璃化转变温度＞150℃。</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高精度多管式连续磺化技术攻关及关键装备开发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中轻化工绍兴有限公司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磺化产品的有效连续生产时间≥30天，磺化反应器能力6吨/小时以上。</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center"/>
              <w:rPr>
                <w:rFonts w:ascii="宋体" w:hAnsi="宋体" w:cs="宋体"/>
                <w:color w:val="000000"/>
                <w:sz w:val="22"/>
              </w:rPr>
            </w:pPr>
            <w:r>
              <w:rPr>
                <w:rFonts w:ascii="宋体" w:hAnsi="宋体" w:cs="宋体" w:hint="eastAsia"/>
                <w:color w:val="000000"/>
                <w:kern w:val="0"/>
                <w:szCs w:val="21"/>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上虞区</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民用航空碳纤维复合材料机身关键技术研究与应用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万丰飞机工业有限公司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（1）复合材料封闭壳体与内部构件间胶接间隙的确定方法；（2）模内底漆工艺参数设计； （3）机身整体共固化一体成型工艺；（4）预浸料铺层及剪口优化技术； （5）力学性能对前梁、后梁的破坏强度及挠度均有要求。</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轻型飞机航电系统国产化研制项目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万丰飞机工业有限公司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（1）国产机械式飞行仪表的选型，配置；地面试验台的设计、制造及测试； （2）基于新的航电设备的仪表板结构的设计、试制和装机测试； （3）整个系统的电磁兼容试验完全通过； （4）对安装新系统的飞机进行飞行试验，按适航规章进行系统的相关试验； （5）将设计及测试资料需通过适航认证。</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高效多工位低能耗割管机的关键技术</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新昌县金马数控设备有限公司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（1）双工位加工机构结构设计；（2）加工转移紧密配合技术；（3）多工作模组设计：包括有可沿环形滑轨移动的工作模组、轴套类零件切割模组；（4）设备精度的智能化设计；（5）精度智能振动抑制技术。</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高效制冷压缩机型线设计制造</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浙江博莱特制冷设备有限公司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活塞式制冷压缩机的质量依据GB/T5773-2004/XG1-2011《容积式制冷压缩机性能试验方法》</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年产36万套汽车空调管路组件自动化改造项目</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浙江佛城制冷有限公司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项目主要采用压板法兰与铝合金管非焊接的机械铆接技术或工艺</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87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复杂的非标小模数传动齿轮及电子线路仿真设计（兼顾EMC）方向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浙江捷昌线性驱动科技股份有限公司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（1）需要在复杂的非标小模数传动齿轮方面有独到的研究，对齿轮的机械设计、修行、噪音等能提供科学的依据及进行系统的仿真模拟。整体机械噪音≤42Db. （2）电子线路仿真设计（兼顾EMC）项目需要对电子线路板乃至整个系统进行电磁仿真并能提供科学的指导建议,经过仿真的线路板可以一次性通过EN55014标准测试。</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复合材料板簧</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浙江美力科技股份有限公司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（1）基体材料：环氧树脂； （2）增强材料：玻璃纤维； （3）密度：（1）9-（2）0g/cm3； （4）设计载荷：位置1(370mm)7307N、位置2(420mm)7686N、位置3(445mm)7920N、位置4(470mm)8064N； （5）刚度：位置1(370mm)97.48N/mm、位置2(420mm)10（2）43N/mm、位置3(445mm)107.27N/mm、位置4(470mm)11（2）40N/mm； （6）疲劳寿命：80万次无开裂、分层等现象，刚度变化不得超过原弹簧刚度的10%。</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89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智能高精度阀口袋精灌机</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浙江美联智能科技有限公司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动态称重的精度±0.05%及以下，并且实现“零”扬尘“零”喷粉</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喷气织机用电磁阀</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浙江日发纺机技术有限公司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（1）工作压力：≤0.7MPa （2）灵敏度：开启6~9ms、关闭17~21ms （3）工作寿命：&gt;20亿次 （4）压力范围0-10bar</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91</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喷水织机喷嘴</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浙江日发纺机技术有限公司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（1）喷嘴耐高温，耐磨损，耐腐蚀 （2）喷水水流具有良好的集束性，入纬率1700-2000m/min （3）可用最大织机幅宽（2）3m</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92</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医废就地处置装备</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浙江融家科技有限公司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日处理量：150kg，500kg，1000kg，按每天工作10小时算 处理效率：15kg/h，50kg/h ，100kg/h减量程度：90~95% 杀菌率：99.99%液态废水：处理后达标无毒排放 废气：处理后达标无毒排放</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60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576"/>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93</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人体姿态视觉追踪系统</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浙江融家科技有限公司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 操作人员的身份合法性判别； （2） 操作人员个人防护规范性判别； （3） 操作人员操作行为规范智能判别；</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1152"/>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94</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纺织云平台SaaS化容器技术及其实现</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浙江天衡信息技术有限公司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轻客户端配置高可靠性，面向规模化用户群体的高可靠云计算平台； 云边协同微服务架构</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95</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基于工业互联网平台的设备预测性运维管理（传感器方向）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浙江陀曼精密机械有限公司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高精度振动传感器技术参数：三轴输出，量程±500g，频响4-10000Hz，灵敏度≤5%，工作温度-40℃-+85℃，模拟信号数据输出，体积小，质量轻，便于安装；边缘计算网关：4-10000Hz高频采集，采集频率可配置，256M以上的数据存储能力，具备自适应特征提取功能，具备WIFI网络通讯能力，实现与云平台的对接。</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96</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轻量化轮毂电机总成系统关键技术研究及产业化应用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浙江万丰奥威汽轮股份有限公司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研发并批量化新能源乘用车集成式轻量化电驱动轮毂总成系统包括铝合金轮毂、永磁式高速轮毂电机及驱动控制系统、机电混合制动装置，其它机械辅助装置。其中铝合金轮毂采用轻量化设计和锻造工艺，与传统轮毂减重约18%；轮毂电机采用永磁外转子设计，最高转速可以达到约1600RPM，采用直驱方式可以极大简化整体结构； 驱动系统包括永磁电机驱动系统及分布式驱动控制系统，先进的驱动控制算法实现多电机运行的稳定性及牵引控制；采用机电混合制动装置能够实现在制动时的能量反馈，提高整车运行效率。</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97</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镁基颗粒增强复合材料制备技术及汽车复杂结构件应用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浙江万丰奥威汽轮股份有限公司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 高质量镁基复合材料熔体制备技术，重点研究界面反应机制、可控性调节及界面反应对材料性能的影响规律等方面的基础理论和工艺研究，提高增强体的分散性，最终提高材料性能。 （2） 镁基复合材料复杂结构件的成形技术，针对汽车特别是新能源汽车的新需求、新特征、新趋势对铸件零部件产品的高尺寸精度、高力学性能、高集成度、复杂结构等特点，对材料和成形工艺进行研究。 （3） 汽车领域的产业化应用，开发轮毂、转向节、副车架、刹车系统、变速箱壳体、发动机缸体等典型汽车零部件产品，并实现产业化应用。</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20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lastRenderedPageBreak/>
              <w:t>98</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电动登高车生产线自动焊接机械手的研制及应用</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浙江勇峰智能科技有限公司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（1）气保焊参考速度：7mm/s； （2）实际效率：133件/天； （3）对位校验时间：10S； （4）装夹时间：80S</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50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99</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PE-PP材料的胶黏剂</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浙江中财管道科技股份有限公司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PE-PP材料的胶黏剂：胶黏剂能够同时能否对PE和PP材料能够有较强的粘合力，能够承受-10至70℃冷热循环的实验，满足GB/T17219的卫生性能要求。</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30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r w:rsidR="00984201" w:rsidTr="00E05FA2">
        <w:trPr>
          <w:trHeight w:val="864"/>
          <w:jc w:val="center"/>
        </w:trPr>
        <w:tc>
          <w:tcPr>
            <w:tcW w:w="815" w:type="dxa"/>
            <w:tcBorders>
              <w:top w:val="nil"/>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100</w:t>
            </w:r>
          </w:p>
        </w:tc>
        <w:tc>
          <w:tcPr>
            <w:tcW w:w="2121"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基于机器视觉的轴承毛坯件缺陷检测系统的设计开发</w:t>
            </w:r>
          </w:p>
        </w:tc>
        <w:tc>
          <w:tcPr>
            <w:tcW w:w="1250"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浙江中集轴承有限公司</w:t>
            </w:r>
          </w:p>
        </w:tc>
        <w:tc>
          <w:tcPr>
            <w:tcW w:w="6324"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（1）基于视觉+大数据处理的轴承瑕疵检测 （2）基于视觉+大数据处理的轴承高精度尺寸检测 （3）轴承尺寸、瑕疵检测系统研制</w:t>
            </w:r>
          </w:p>
        </w:tc>
        <w:tc>
          <w:tcPr>
            <w:tcW w:w="97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10</w:t>
            </w:r>
          </w:p>
        </w:tc>
        <w:tc>
          <w:tcPr>
            <w:tcW w:w="1032" w:type="dxa"/>
            <w:tcBorders>
              <w:top w:val="nil"/>
              <w:left w:val="nil"/>
              <w:bottom w:val="single" w:sz="4" w:space="0" w:color="auto"/>
              <w:right w:val="single" w:sz="4" w:space="0" w:color="auto"/>
            </w:tcBorders>
            <w:shd w:val="clear" w:color="auto" w:fill="auto"/>
            <w:tcMar>
              <w:top w:w="12" w:type="dxa"/>
              <w:left w:w="12" w:type="dxa"/>
              <w:right w:w="12" w:type="dxa"/>
            </w:tcMar>
            <w:vAlign w:val="center"/>
          </w:tcPr>
          <w:p w:rsidR="00984201" w:rsidRDefault="00984201">
            <w:pPr>
              <w:jc w:val="center"/>
              <w:textAlignment w:val="bottom"/>
              <w:rPr>
                <w:rFonts w:ascii="宋体" w:hAnsi="宋体" w:cs="宋体"/>
                <w:color w:val="000000"/>
                <w:sz w:val="22"/>
              </w:rPr>
            </w:pPr>
            <w:r>
              <w:rPr>
                <w:rFonts w:ascii="宋体" w:hAnsi="宋体" w:cs="宋体" w:hint="eastAsia"/>
                <w:color w:val="000000"/>
                <w:kern w:val="0"/>
                <w:sz w:val="22"/>
              </w:rPr>
              <w:t>新昌县</w:t>
            </w:r>
          </w:p>
        </w:tc>
      </w:tr>
    </w:tbl>
    <w:p w:rsidR="003A542A" w:rsidRDefault="00311949">
      <w:pPr>
        <w:textAlignment w:val="bottom"/>
        <w:rPr>
          <w:rFonts w:ascii="宋体" w:hAnsi="宋体" w:cs="宋体"/>
          <w:color w:val="000000"/>
          <w:kern w:val="0"/>
          <w:sz w:val="22"/>
        </w:rPr>
      </w:pPr>
      <w:r>
        <w:rPr>
          <w:rFonts w:ascii="宋体" w:hAnsi="宋体" w:cs="宋体" w:hint="eastAsia"/>
          <w:color w:val="000000"/>
          <w:kern w:val="0"/>
          <w:sz w:val="22"/>
        </w:rPr>
        <w:t>备注：项目1-43号在成功揭榜后，需求方作为申报主体登录“绍兴市科技创新云服务平台”在线申报（申报联系电话88261750）；</w:t>
      </w:r>
    </w:p>
    <w:p w:rsidR="003A542A" w:rsidRDefault="00311949">
      <w:pPr>
        <w:textAlignment w:val="bottom"/>
        <w:rPr>
          <w:rFonts w:ascii="宋体" w:hAnsi="宋体" w:cs="宋体"/>
          <w:color w:val="000000"/>
          <w:kern w:val="0"/>
          <w:sz w:val="22"/>
        </w:rPr>
      </w:pPr>
      <w:r>
        <w:rPr>
          <w:rFonts w:ascii="宋体" w:hAnsi="宋体" w:cs="宋体" w:hint="eastAsia"/>
          <w:color w:val="000000"/>
          <w:kern w:val="0"/>
          <w:sz w:val="22"/>
        </w:rPr>
        <w:t>项目44-100号在成功接榜后，分别联系属地科技部门申报（柯桥区联系电话81109798，上虞区联系电话82212763，新昌县联系电话86025446）。</w:t>
      </w:r>
    </w:p>
    <w:sectPr w:rsidR="003A542A" w:rsidSect="003A542A">
      <w:headerReference w:type="default" r:id="rId8"/>
      <w:footerReference w:type="default" r:id="rId9"/>
      <w:pgSz w:w="16838" w:h="11906" w:orient="landscape"/>
      <w:pgMar w:top="1644" w:right="1758" w:bottom="1644"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24B" w:rsidRDefault="0025224B" w:rsidP="003A542A">
      <w:r>
        <w:separator/>
      </w:r>
    </w:p>
  </w:endnote>
  <w:endnote w:type="continuationSeparator" w:id="1">
    <w:p w:rsidR="0025224B" w:rsidRDefault="0025224B" w:rsidP="003A5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A" w:rsidRDefault="00501BAE">
    <w:pPr>
      <w:pStyle w:val="a5"/>
      <w:jc w:val="center"/>
    </w:pPr>
    <w:r>
      <w:fldChar w:fldCharType="begin"/>
    </w:r>
    <w:r w:rsidR="00311949">
      <w:instrText>PAGE   \* MERGEFORMAT</w:instrText>
    </w:r>
    <w:r>
      <w:fldChar w:fldCharType="separate"/>
    </w:r>
    <w:r w:rsidR="00E05FA2" w:rsidRPr="00E05FA2">
      <w:rPr>
        <w:noProof/>
        <w:lang w:val="zh-CN"/>
      </w:rPr>
      <w:t>1</w:t>
    </w:r>
    <w:r>
      <w:fldChar w:fldCharType="end"/>
    </w:r>
  </w:p>
  <w:p w:rsidR="003A542A" w:rsidRDefault="003A54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24B" w:rsidRDefault="0025224B" w:rsidP="003A542A">
      <w:r>
        <w:separator/>
      </w:r>
    </w:p>
  </w:footnote>
  <w:footnote w:type="continuationSeparator" w:id="1">
    <w:p w:rsidR="0025224B" w:rsidRDefault="0025224B" w:rsidP="003A5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2A" w:rsidRDefault="003A542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2DD5"/>
    <w:rsid w:val="00013217"/>
    <w:rsid w:val="00016FC5"/>
    <w:rsid w:val="0003388C"/>
    <w:rsid w:val="00061B8B"/>
    <w:rsid w:val="00084E05"/>
    <w:rsid w:val="000B23BA"/>
    <w:rsid w:val="000C2F01"/>
    <w:rsid w:val="000F2EF2"/>
    <w:rsid w:val="000F7621"/>
    <w:rsid w:val="00124A4B"/>
    <w:rsid w:val="001265E2"/>
    <w:rsid w:val="00134023"/>
    <w:rsid w:val="00144DFE"/>
    <w:rsid w:val="001472DF"/>
    <w:rsid w:val="00170BAA"/>
    <w:rsid w:val="00196573"/>
    <w:rsid w:val="00197D65"/>
    <w:rsid w:val="001A17B7"/>
    <w:rsid w:val="001A1B59"/>
    <w:rsid w:val="001A3EC2"/>
    <w:rsid w:val="00220542"/>
    <w:rsid w:val="00224A83"/>
    <w:rsid w:val="0025224B"/>
    <w:rsid w:val="00252B64"/>
    <w:rsid w:val="002629ED"/>
    <w:rsid w:val="002658BB"/>
    <w:rsid w:val="00292E23"/>
    <w:rsid w:val="002B29F3"/>
    <w:rsid w:val="002E04C6"/>
    <w:rsid w:val="003000AB"/>
    <w:rsid w:val="003061C9"/>
    <w:rsid w:val="00311949"/>
    <w:rsid w:val="00326B40"/>
    <w:rsid w:val="003828B0"/>
    <w:rsid w:val="003A0BD1"/>
    <w:rsid w:val="003A542A"/>
    <w:rsid w:val="003A5B4D"/>
    <w:rsid w:val="003F3019"/>
    <w:rsid w:val="00453905"/>
    <w:rsid w:val="0049209B"/>
    <w:rsid w:val="0049652C"/>
    <w:rsid w:val="004C3C10"/>
    <w:rsid w:val="004D79A5"/>
    <w:rsid w:val="004E6435"/>
    <w:rsid w:val="00501BAE"/>
    <w:rsid w:val="0051032A"/>
    <w:rsid w:val="00525174"/>
    <w:rsid w:val="00533AF9"/>
    <w:rsid w:val="005375A5"/>
    <w:rsid w:val="00554206"/>
    <w:rsid w:val="00555EB1"/>
    <w:rsid w:val="00563D80"/>
    <w:rsid w:val="0057228D"/>
    <w:rsid w:val="00582683"/>
    <w:rsid w:val="00583AE8"/>
    <w:rsid w:val="005853B4"/>
    <w:rsid w:val="005A5EED"/>
    <w:rsid w:val="005D7E04"/>
    <w:rsid w:val="005E381A"/>
    <w:rsid w:val="006038D8"/>
    <w:rsid w:val="006078D6"/>
    <w:rsid w:val="00610483"/>
    <w:rsid w:val="00610539"/>
    <w:rsid w:val="006241A2"/>
    <w:rsid w:val="00633016"/>
    <w:rsid w:val="0063445C"/>
    <w:rsid w:val="00636DB2"/>
    <w:rsid w:val="00645DEA"/>
    <w:rsid w:val="00681401"/>
    <w:rsid w:val="00682B9A"/>
    <w:rsid w:val="00690386"/>
    <w:rsid w:val="006B0C1C"/>
    <w:rsid w:val="006B6BF3"/>
    <w:rsid w:val="006C7AC7"/>
    <w:rsid w:val="00721F3D"/>
    <w:rsid w:val="00726A90"/>
    <w:rsid w:val="0073649F"/>
    <w:rsid w:val="007757DE"/>
    <w:rsid w:val="0078327D"/>
    <w:rsid w:val="007847BE"/>
    <w:rsid w:val="0078763F"/>
    <w:rsid w:val="00793694"/>
    <w:rsid w:val="00795612"/>
    <w:rsid w:val="007A25BA"/>
    <w:rsid w:val="007B2DD5"/>
    <w:rsid w:val="008120C6"/>
    <w:rsid w:val="00821A97"/>
    <w:rsid w:val="00877161"/>
    <w:rsid w:val="00893308"/>
    <w:rsid w:val="008D19B4"/>
    <w:rsid w:val="008F157D"/>
    <w:rsid w:val="008F1790"/>
    <w:rsid w:val="00921CBF"/>
    <w:rsid w:val="009307B0"/>
    <w:rsid w:val="009501D5"/>
    <w:rsid w:val="00963323"/>
    <w:rsid w:val="00981FEE"/>
    <w:rsid w:val="00984201"/>
    <w:rsid w:val="00984B90"/>
    <w:rsid w:val="009A2D84"/>
    <w:rsid w:val="009B4E96"/>
    <w:rsid w:val="009B78C4"/>
    <w:rsid w:val="009C6A36"/>
    <w:rsid w:val="009F419F"/>
    <w:rsid w:val="00A05BFE"/>
    <w:rsid w:val="00A216BC"/>
    <w:rsid w:val="00A4613A"/>
    <w:rsid w:val="00A55CC7"/>
    <w:rsid w:val="00A771A7"/>
    <w:rsid w:val="00AE2649"/>
    <w:rsid w:val="00B11205"/>
    <w:rsid w:val="00B361E2"/>
    <w:rsid w:val="00B405A7"/>
    <w:rsid w:val="00B41509"/>
    <w:rsid w:val="00BA4AB2"/>
    <w:rsid w:val="00BA734E"/>
    <w:rsid w:val="00BB7D03"/>
    <w:rsid w:val="00BC286D"/>
    <w:rsid w:val="00BD2501"/>
    <w:rsid w:val="00BE655E"/>
    <w:rsid w:val="00BF2976"/>
    <w:rsid w:val="00C11332"/>
    <w:rsid w:val="00C26770"/>
    <w:rsid w:val="00C27E56"/>
    <w:rsid w:val="00C42E6B"/>
    <w:rsid w:val="00C47CAC"/>
    <w:rsid w:val="00C82D0E"/>
    <w:rsid w:val="00C911D7"/>
    <w:rsid w:val="00CA3671"/>
    <w:rsid w:val="00CB03C2"/>
    <w:rsid w:val="00CE17A0"/>
    <w:rsid w:val="00D46B7C"/>
    <w:rsid w:val="00D51E24"/>
    <w:rsid w:val="00D561D9"/>
    <w:rsid w:val="00D60C23"/>
    <w:rsid w:val="00D74712"/>
    <w:rsid w:val="00D75019"/>
    <w:rsid w:val="00DB1A62"/>
    <w:rsid w:val="00DD4924"/>
    <w:rsid w:val="00E05FA2"/>
    <w:rsid w:val="00E06205"/>
    <w:rsid w:val="00E114E6"/>
    <w:rsid w:val="00E11DF1"/>
    <w:rsid w:val="00E1707B"/>
    <w:rsid w:val="00E60716"/>
    <w:rsid w:val="00E70D78"/>
    <w:rsid w:val="00E83938"/>
    <w:rsid w:val="00EB397E"/>
    <w:rsid w:val="00EB747B"/>
    <w:rsid w:val="00EC145E"/>
    <w:rsid w:val="00EE0FED"/>
    <w:rsid w:val="00EE2700"/>
    <w:rsid w:val="00EF1336"/>
    <w:rsid w:val="00EF63EE"/>
    <w:rsid w:val="00F023B5"/>
    <w:rsid w:val="00F10750"/>
    <w:rsid w:val="00F14212"/>
    <w:rsid w:val="00F14CFB"/>
    <w:rsid w:val="00F353C2"/>
    <w:rsid w:val="00F55BBB"/>
    <w:rsid w:val="00F908BE"/>
    <w:rsid w:val="00FA2AB2"/>
    <w:rsid w:val="00FA67C3"/>
    <w:rsid w:val="00FD6F61"/>
    <w:rsid w:val="00FE45BA"/>
    <w:rsid w:val="04611B7C"/>
    <w:rsid w:val="08286A03"/>
    <w:rsid w:val="089351B9"/>
    <w:rsid w:val="13F077D9"/>
    <w:rsid w:val="156E7C4B"/>
    <w:rsid w:val="21B35976"/>
    <w:rsid w:val="23DF3826"/>
    <w:rsid w:val="2EDB1107"/>
    <w:rsid w:val="2FE473BB"/>
    <w:rsid w:val="35355E52"/>
    <w:rsid w:val="35671FC6"/>
    <w:rsid w:val="3B005E39"/>
    <w:rsid w:val="43752347"/>
    <w:rsid w:val="66661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2A"/>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3A542A"/>
    <w:pPr>
      <w:ind w:leftChars="2500" w:left="100"/>
    </w:pPr>
  </w:style>
  <w:style w:type="paragraph" w:styleId="a4">
    <w:name w:val="Balloon Text"/>
    <w:basedOn w:val="a"/>
    <w:link w:val="Char0"/>
    <w:uiPriority w:val="99"/>
    <w:unhideWhenUsed/>
    <w:rsid w:val="003A542A"/>
    <w:rPr>
      <w:sz w:val="18"/>
      <w:szCs w:val="18"/>
    </w:rPr>
  </w:style>
  <w:style w:type="paragraph" w:styleId="a5">
    <w:name w:val="footer"/>
    <w:basedOn w:val="a"/>
    <w:link w:val="Char1"/>
    <w:uiPriority w:val="99"/>
    <w:unhideWhenUsed/>
    <w:rsid w:val="003A542A"/>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3A5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uiPriority w:val="99"/>
    <w:qFormat/>
    <w:rsid w:val="003A542A"/>
    <w:rPr>
      <w:rFonts w:cs="Times New Roman"/>
    </w:rPr>
  </w:style>
  <w:style w:type="character" w:styleId="a8">
    <w:name w:val="Hyperlink"/>
    <w:uiPriority w:val="99"/>
    <w:qFormat/>
    <w:rsid w:val="003A542A"/>
    <w:rPr>
      <w:rFonts w:ascii="??" w:hAnsi="??" w:cs="Times New Roman"/>
      <w:color w:val="000000"/>
      <w:u w:val="none"/>
    </w:rPr>
  </w:style>
  <w:style w:type="table" w:styleId="a9">
    <w:name w:val="Table Grid"/>
    <w:basedOn w:val="a1"/>
    <w:uiPriority w:val="59"/>
    <w:qFormat/>
    <w:rsid w:val="003A5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5"/>
    <w:uiPriority w:val="99"/>
    <w:qFormat/>
    <w:rsid w:val="003A542A"/>
    <w:rPr>
      <w:sz w:val="18"/>
      <w:szCs w:val="18"/>
    </w:rPr>
  </w:style>
  <w:style w:type="character" w:customStyle="1" w:styleId="Char2">
    <w:name w:val="页眉 Char"/>
    <w:link w:val="a6"/>
    <w:uiPriority w:val="99"/>
    <w:qFormat/>
    <w:rsid w:val="003A542A"/>
    <w:rPr>
      <w:sz w:val="18"/>
      <w:szCs w:val="18"/>
    </w:rPr>
  </w:style>
  <w:style w:type="character" w:customStyle="1" w:styleId="Char10">
    <w:name w:val="页眉 Char1"/>
    <w:basedOn w:val="a0"/>
    <w:uiPriority w:val="99"/>
    <w:semiHidden/>
    <w:qFormat/>
    <w:rsid w:val="003A542A"/>
    <w:rPr>
      <w:rFonts w:ascii="Calibri" w:eastAsia="宋体" w:hAnsi="Calibri" w:cs="Times New Roman"/>
      <w:sz w:val="18"/>
      <w:szCs w:val="18"/>
    </w:rPr>
  </w:style>
  <w:style w:type="paragraph" w:customStyle="1" w:styleId="New">
    <w:name w:val="正文 New"/>
    <w:uiPriority w:val="99"/>
    <w:qFormat/>
    <w:rsid w:val="003A542A"/>
    <w:pPr>
      <w:widowControl w:val="0"/>
      <w:jc w:val="both"/>
    </w:pPr>
    <w:rPr>
      <w:rFonts w:ascii="Calibri" w:hAnsi="Calibri"/>
      <w:kern w:val="2"/>
      <w:sz w:val="21"/>
      <w:szCs w:val="22"/>
    </w:rPr>
  </w:style>
  <w:style w:type="character" w:customStyle="1" w:styleId="Char11">
    <w:name w:val="页脚 Char1"/>
    <w:basedOn w:val="a0"/>
    <w:uiPriority w:val="99"/>
    <w:semiHidden/>
    <w:qFormat/>
    <w:rsid w:val="003A542A"/>
    <w:rPr>
      <w:rFonts w:ascii="Calibri" w:eastAsia="宋体" w:hAnsi="Calibri" w:cs="Times New Roman"/>
      <w:sz w:val="18"/>
      <w:szCs w:val="18"/>
    </w:rPr>
  </w:style>
  <w:style w:type="character" w:customStyle="1" w:styleId="Char">
    <w:name w:val="日期 Char"/>
    <w:basedOn w:val="a0"/>
    <w:link w:val="a3"/>
    <w:uiPriority w:val="99"/>
    <w:semiHidden/>
    <w:rsid w:val="003A542A"/>
    <w:rPr>
      <w:rFonts w:ascii="Calibri" w:eastAsia="宋体" w:hAnsi="Calibri" w:cs="Times New Roman"/>
    </w:rPr>
  </w:style>
  <w:style w:type="character" w:customStyle="1" w:styleId="Char0">
    <w:name w:val="批注框文本 Char"/>
    <w:basedOn w:val="a0"/>
    <w:link w:val="a4"/>
    <w:uiPriority w:val="99"/>
    <w:semiHidden/>
    <w:qFormat/>
    <w:rsid w:val="003A542A"/>
    <w:rPr>
      <w:rFonts w:ascii="Calibri" w:eastAsia="宋体" w:hAnsi="Calibri" w:cs="Times New Roman"/>
      <w:sz w:val="18"/>
      <w:szCs w:val="18"/>
    </w:rPr>
  </w:style>
  <w:style w:type="paragraph" w:customStyle="1" w:styleId="1">
    <w:name w:val="列出段落1"/>
    <w:basedOn w:val="a"/>
    <w:uiPriority w:val="34"/>
    <w:qFormat/>
    <w:rsid w:val="003A542A"/>
    <w:pPr>
      <w:ind w:firstLineChars="200" w:firstLine="420"/>
    </w:pPr>
  </w:style>
  <w:style w:type="paragraph" w:customStyle="1" w:styleId="p">
    <w:name w:val="p"/>
    <w:basedOn w:val="a"/>
    <w:uiPriority w:val="99"/>
    <w:qFormat/>
    <w:rsid w:val="003A542A"/>
    <w:pPr>
      <w:spacing w:before="100" w:beforeAutospacing="1" w:after="100" w:afterAutospacing="1"/>
    </w:pPr>
    <w:rPr>
      <w:rFonts w:ascii="宋体" w:hAnsi="宋体" w:cs="宋体"/>
      <w:kern w:val="0"/>
      <w:sz w:val="24"/>
      <w:szCs w:val="24"/>
    </w:rPr>
  </w:style>
  <w:style w:type="character" w:customStyle="1" w:styleId="font71">
    <w:name w:val="font71"/>
    <w:basedOn w:val="a0"/>
    <w:qFormat/>
    <w:rsid w:val="003A542A"/>
    <w:rPr>
      <w:rFonts w:ascii="宋体" w:eastAsia="宋体" w:hAnsi="宋体" w:cs="宋体" w:hint="eastAsia"/>
      <w:color w:val="191919"/>
      <w:sz w:val="21"/>
      <w:szCs w:val="21"/>
      <w:u w:val="none"/>
    </w:rPr>
  </w:style>
  <w:style w:type="character" w:customStyle="1" w:styleId="font61">
    <w:name w:val="font61"/>
    <w:basedOn w:val="a0"/>
    <w:qFormat/>
    <w:rsid w:val="003A542A"/>
    <w:rPr>
      <w:rFonts w:ascii="Arial" w:hAnsi="Arial" w:cs="Arial"/>
      <w:color w:val="191919"/>
      <w:sz w:val="21"/>
      <w:szCs w:val="21"/>
      <w:u w:val="none"/>
    </w:rPr>
  </w:style>
  <w:style w:type="character" w:customStyle="1" w:styleId="font81">
    <w:name w:val="font81"/>
    <w:basedOn w:val="a0"/>
    <w:qFormat/>
    <w:rsid w:val="003A542A"/>
    <w:rPr>
      <w:rFonts w:ascii="黑体" w:eastAsia="黑体" w:hAnsi="宋体" w:cs="黑体"/>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688D6A2-779C-4CF4-AB53-642349ED65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1899</Words>
  <Characters>10830</Characters>
  <Application>Microsoft Office Word</Application>
  <DocSecurity>0</DocSecurity>
  <Lines>90</Lines>
  <Paragraphs>25</Paragraphs>
  <ScaleCrop>false</ScaleCrop>
  <Company>微软中国</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董战辉</cp:lastModifiedBy>
  <cp:revision>31</cp:revision>
  <cp:lastPrinted>2019-05-29T06:49:00Z</cp:lastPrinted>
  <dcterms:created xsi:type="dcterms:W3CDTF">2018-07-16T09:00:00Z</dcterms:created>
  <dcterms:modified xsi:type="dcterms:W3CDTF">2021-04-21T09:58:00Z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